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0"/>
          <w:szCs w:val="40"/>
        </w:rPr>
        <w:id w:val="1994053192"/>
        <w:docPartObj>
          <w:docPartGallery w:val="Cover Pages"/>
          <w:docPartUnique/>
        </w:docPartObj>
      </w:sdtPr>
      <w:sdtContent>
        <w:p w14:paraId="492F66AB" w14:textId="01EB501E" w:rsidR="00760344" w:rsidRDefault="00760344">
          <w:pPr>
            <w:rPr>
              <w:rFonts w:asciiTheme="majorHAnsi" w:eastAsiaTheme="majorEastAsia" w:hAnsiTheme="majorHAnsi" w:cstheme="majorBidi"/>
              <w:color w:val="9D3511" w:themeColor="accent1" w:themeShade="BF"/>
              <w:spacing w:val="-7"/>
              <w:sz w:val="40"/>
              <w:szCs w:val="40"/>
            </w:rPr>
          </w:pPr>
          <w:r>
            <w:rPr>
              <w:noProof/>
              <w:color w:val="9D3511" w:themeColor="accent1" w:themeShade="BF"/>
              <w:sz w:val="40"/>
              <w:szCs w:val="40"/>
              <w:lang w:val="es"/>
            </w:rPr>
            <mc:AlternateContent>
              <mc:Choice Requires="wps">
                <w:drawing>
                  <wp:anchor distT="0" distB="0" distL="114300" distR="114300" simplePos="0" relativeHeight="251659264" behindDoc="0" locked="0" layoutInCell="1" allowOverlap="1" wp14:anchorId="2335ED22" wp14:editId="66D6EFFD">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9B2D1F" w:themeColor="accent2"/>
                                  </w:tblBorders>
                                  <w:tblCellMar>
                                    <w:top w:w="1296" w:type="dxa"/>
                                    <w:left w:w="360" w:type="dxa"/>
                                    <w:bottom w:w="1296" w:type="dxa"/>
                                    <w:right w:w="360" w:type="dxa"/>
                                  </w:tblCellMar>
                                  <w:tblLook w:val="04A0" w:firstRow="1" w:lastRow="0" w:firstColumn="1" w:lastColumn="0" w:noHBand="0" w:noVBand="1"/>
                                </w:tblPr>
                                <w:tblGrid>
                                  <w:gridCol w:w="4484"/>
                                  <w:gridCol w:w="2235"/>
                                </w:tblGrid>
                                <w:tr w:rsidR="00760344" w14:paraId="1AF62EFF" w14:textId="77777777">
                                  <w:trPr>
                                    <w:jc w:val="center"/>
                                  </w:trPr>
                                  <w:tc>
                                    <w:tcPr>
                                      <w:tcW w:w="2568" w:type="pct"/>
                                      <w:vAlign w:val="center"/>
                                    </w:tcPr>
                                    <w:p w14:paraId="3D6191A2" w14:textId="6766F42B" w:rsidR="00760344" w:rsidRDefault="00760344">
                                      <w:pPr>
                                        <w:jc w:val="right"/>
                                      </w:pPr>
                                    </w:p>
                                    <w:p w14:paraId="2F169AC9" w14:textId="77777777" w:rsidR="00A4722B" w:rsidRDefault="00A4722B">
                                      <w:pPr>
                                        <w:jc w:val="right"/>
                                        <w:rPr>
                                          <w:b/>
                                          <w:bCs/>
                                          <w:caps/>
                                          <w:color w:val="9D3511"/>
                                          <w:sz w:val="72"/>
                                          <w:szCs w:val="72"/>
                                        </w:rPr>
                                      </w:pPr>
                                      <w:r w:rsidRPr="00A4722B">
                                        <w:rPr>
                                          <w:b/>
                                          <w:bCs/>
                                          <w:caps/>
                                          <w:color w:val="9D3511"/>
                                          <w:sz w:val="72"/>
                                          <w:szCs w:val="72"/>
                                        </w:rPr>
                                        <w:t>Kit digital de septiembre</w:t>
                                      </w:r>
                                    </w:p>
                                    <w:p w14:paraId="63147095" w14:textId="6CDD784F" w:rsidR="00760344" w:rsidRDefault="00A4722B">
                                      <w:pPr>
                                        <w:jc w:val="right"/>
                                        <w:rPr>
                                          <w:sz w:val="24"/>
                                          <w:szCs w:val="24"/>
                                        </w:rPr>
                                      </w:pPr>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r w:rsidRPr="00A4722B">
                                            <w:rPr>
                                              <w:color w:val="000000" w:themeColor="text1"/>
                                              <w:sz w:val="24"/>
                                              <w:szCs w:val="24"/>
                                            </w:rPr>
                                            <w:t>Mes de la Preparación Comunitaria 2025</w:t>
                                          </w:r>
                                        </w:sdtContent>
                                      </w:sdt>
                                    </w:p>
                                  </w:tc>
                                  <w:tc>
                                    <w:tcPr>
                                      <w:tcW w:w="2432" w:type="pct"/>
                                      <w:vAlign w:val="center"/>
                                    </w:tcPr>
                                    <w:p w14:paraId="0D4868A3" w14:textId="77777777" w:rsidR="00760344" w:rsidRDefault="00760344" w:rsidP="00760344">
                                      <w:pPr>
                                        <w:pStyle w:val="NoSpacing"/>
                                        <w:rPr>
                                          <w:color w:val="696464" w:themeColor="text2"/>
                                        </w:rPr>
                                      </w:pPr>
                                      <w:r>
                                        <w:rPr>
                                          <w:color w:val="9B2D1F" w:themeColor="accent2"/>
                                          <w:sz w:val="26"/>
                                          <w:szCs w:val="26"/>
                                          <w:lang w:val="es"/>
                                        </w:rPr>
                                        <w:t>Kia Xiong</w:t>
                                      </w:r>
                                    </w:p>
                                    <w:p w14:paraId="28C5B366" w14:textId="77777777" w:rsidR="00760344" w:rsidRDefault="00760344" w:rsidP="00760344">
                                      <w:pPr>
                                        <w:pStyle w:val="NoSpacing"/>
                                        <w:rPr>
                                          <w:color w:val="696464" w:themeColor="text2"/>
                                        </w:rPr>
                                      </w:pPr>
                                      <w:r>
                                        <w:rPr>
                                          <w:color w:val="696464" w:themeColor="text2"/>
                                          <w:lang w:val="es"/>
                                        </w:rPr>
                                        <w:t>Oficial de Información Pública</w:t>
                                      </w:r>
                                    </w:p>
                                    <w:p w14:paraId="17DFD505" w14:textId="77777777" w:rsidR="00760344" w:rsidRDefault="00760344" w:rsidP="00760344">
                                      <w:pPr>
                                        <w:pStyle w:val="NoSpacing"/>
                                      </w:pPr>
                                      <w:r>
                                        <w:rPr>
                                          <w:lang w:val="es"/>
                                        </w:rPr>
                                        <w:t>Oficina de Servicios de Emergencia del Condado de San Joaquín</w:t>
                                      </w:r>
                                    </w:p>
                                    <w:p w14:paraId="2EB78703" w14:textId="77777777" w:rsidR="00760344" w:rsidRDefault="00760344" w:rsidP="00760344">
                                      <w:pPr>
                                        <w:pStyle w:val="NoSpacing"/>
                                      </w:pPr>
                                      <w:r>
                                        <w:rPr>
                                          <w:lang w:val="es"/>
                                        </w:rPr>
                                        <w:t>2101 E. Earhart Ave., Ste 300</w:t>
                                      </w:r>
                                    </w:p>
                                    <w:p w14:paraId="0AED2DDD" w14:textId="77777777" w:rsidR="00760344" w:rsidRDefault="00760344" w:rsidP="00760344">
                                      <w:pPr>
                                        <w:pStyle w:val="NoSpacing"/>
                                      </w:pPr>
                                      <w:r>
                                        <w:rPr>
                                          <w:lang w:val="es"/>
                                        </w:rPr>
                                        <w:t>Stockton, CA 95206</w:t>
                                      </w:r>
                                    </w:p>
                                    <w:p w14:paraId="00DF75EE" w14:textId="77777777" w:rsidR="00760344" w:rsidRDefault="00760344" w:rsidP="00760344">
                                      <w:pPr>
                                        <w:pStyle w:val="NoSpacing"/>
                                      </w:pPr>
                                      <w:r>
                                        <w:rPr>
                                          <w:lang w:val="es"/>
                                        </w:rPr>
                                        <w:t>OFC: (209) 953-6075</w:t>
                                      </w:r>
                                    </w:p>
                                    <w:p w14:paraId="6175BE8E" w14:textId="77777777" w:rsidR="00760344" w:rsidRDefault="00760344" w:rsidP="00760344">
                                      <w:pPr>
                                        <w:pStyle w:val="NoSpacing"/>
                                      </w:pPr>
                                      <w:r>
                                        <w:rPr>
                                          <w:lang w:val="es"/>
                                        </w:rPr>
                                        <w:t>Celular: (209) 616-2057</w:t>
                                      </w:r>
                                    </w:p>
                                    <w:p w14:paraId="13C7ED7C" w14:textId="1C24B8B5" w:rsidR="00760344" w:rsidRDefault="00760344" w:rsidP="00760344">
                                      <w:pPr>
                                        <w:pStyle w:val="NoSpacing"/>
                                      </w:pPr>
                                      <w:r>
                                        <w:rPr>
                                          <w:lang w:val="es"/>
                                        </w:rPr>
                                        <w:t xml:space="preserve">Correo electrónico: </w:t>
                                      </w:r>
                                      <w:hyperlink r:id="rId4" w:history="1">
                                        <w:r>
                                          <w:rPr>
                                            <w:rStyle w:val="Hyperlink"/>
                                            <w:lang w:val="es"/>
                                          </w:rPr>
                                          <w:t>kxiong@sjgov.org</w:t>
                                        </w:r>
                                      </w:hyperlink>
                                    </w:p>
                                    <w:p w14:paraId="5E952696" w14:textId="29175A8B" w:rsidR="00760344" w:rsidRDefault="00760344" w:rsidP="00760344">
                                      <w:pPr>
                                        <w:pStyle w:val="NoSpacing"/>
                                      </w:pPr>
                                      <w:r>
                                        <w:rPr>
                                          <w:lang w:val="es"/>
                                        </w:rPr>
                                        <w:t xml:space="preserve">Sitio web: </w:t>
                                      </w:r>
                                      <w:hyperlink r:id="rId5" w:history="1">
                                        <w:r>
                                          <w:rPr>
                                            <w:rStyle w:val="Hyperlink"/>
                                            <w:lang w:val="es"/>
                                          </w:rPr>
                                          <w:t>www.sjready.org</w:t>
                                        </w:r>
                                      </w:hyperlink>
                                      <w:r>
                                        <w:rPr>
                                          <w:lang w:val="es"/>
                                        </w:rPr>
                                        <w:t xml:space="preserve"> </w:t>
                                      </w:r>
                                    </w:p>
                                  </w:tc>
                                </w:tr>
                              </w:tbl>
                              <w:p w14:paraId="7175B2B1" w14:textId="77777777" w:rsidR="00760344" w:rsidRDefault="0076034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335ED22"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9B2D1F" w:themeColor="accent2"/>
                            </w:tblBorders>
                            <w:tblCellMar>
                              <w:top w:w="1296" w:type="dxa"/>
                              <w:left w:w="360" w:type="dxa"/>
                              <w:bottom w:w="1296" w:type="dxa"/>
                              <w:right w:w="360" w:type="dxa"/>
                            </w:tblCellMar>
                            <w:tblLook w:val="04A0" w:firstRow="1" w:lastRow="0" w:firstColumn="1" w:lastColumn="0" w:noHBand="0" w:noVBand="1"/>
                          </w:tblPr>
                          <w:tblGrid>
                            <w:gridCol w:w="4484"/>
                            <w:gridCol w:w="2235"/>
                          </w:tblGrid>
                          <w:tr w:rsidR="00760344" w14:paraId="1AF62EFF" w14:textId="77777777">
                            <w:trPr>
                              <w:jc w:val="center"/>
                            </w:trPr>
                            <w:tc>
                              <w:tcPr>
                                <w:tcW w:w="2568" w:type="pct"/>
                                <w:vAlign w:val="center"/>
                              </w:tcPr>
                              <w:p w14:paraId="3D6191A2" w14:textId="6766F42B" w:rsidR="00760344" w:rsidRDefault="00760344">
                                <w:pPr>
                                  <w:jc w:val="right"/>
                                </w:pPr>
                              </w:p>
                              <w:p w14:paraId="2F169AC9" w14:textId="77777777" w:rsidR="00A4722B" w:rsidRDefault="00A4722B">
                                <w:pPr>
                                  <w:jc w:val="right"/>
                                  <w:rPr>
                                    <w:b/>
                                    <w:bCs/>
                                    <w:caps/>
                                    <w:color w:val="9D3511"/>
                                    <w:sz w:val="72"/>
                                    <w:szCs w:val="72"/>
                                  </w:rPr>
                                </w:pPr>
                                <w:r w:rsidRPr="00A4722B">
                                  <w:rPr>
                                    <w:b/>
                                    <w:bCs/>
                                    <w:caps/>
                                    <w:color w:val="9D3511"/>
                                    <w:sz w:val="72"/>
                                    <w:szCs w:val="72"/>
                                  </w:rPr>
                                  <w:t>Kit digital de septiembre</w:t>
                                </w:r>
                              </w:p>
                              <w:p w14:paraId="63147095" w14:textId="6CDD784F" w:rsidR="00760344" w:rsidRDefault="00A4722B">
                                <w:pPr>
                                  <w:jc w:val="right"/>
                                  <w:rPr>
                                    <w:sz w:val="24"/>
                                    <w:szCs w:val="24"/>
                                  </w:rPr>
                                </w:pPr>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r w:rsidRPr="00A4722B">
                                      <w:rPr>
                                        <w:color w:val="000000" w:themeColor="text1"/>
                                        <w:sz w:val="24"/>
                                        <w:szCs w:val="24"/>
                                      </w:rPr>
                                      <w:t>Mes de la Preparación Comunitaria 2025</w:t>
                                    </w:r>
                                  </w:sdtContent>
                                </w:sdt>
                              </w:p>
                            </w:tc>
                            <w:tc>
                              <w:tcPr>
                                <w:tcW w:w="2432" w:type="pct"/>
                                <w:vAlign w:val="center"/>
                              </w:tcPr>
                              <w:p w14:paraId="0D4868A3" w14:textId="77777777" w:rsidR="00760344" w:rsidRDefault="00760344" w:rsidP="00760344">
                                <w:pPr>
                                  <w:pStyle w:val="NoSpacing"/>
                                  <w:rPr>
                                    <w:color w:val="696464" w:themeColor="text2"/>
                                  </w:rPr>
                                </w:pPr>
                                <w:r>
                                  <w:rPr>
                                    <w:color w:val="9B2D1F" w:themeColor="accent2"/>
                                    <w:sz w:val="26"/>
                                    <w:szCs w:val="26"/>
                                    <w:lang w:val="es"/>
                                  </w:rPr>
                                  <w:t>Kia Xiong</w:t>
                                </w:r>
                              </w:p>
                              <w:p w14:paraId="28C5B366" w14:textId="77777777" w:rsidR="00760344" w:rsidRDefault="00760344" w:rsidP="00760344">
                                <w:pPr>
                                  <w:pStyle w:val="NoSpacing"/>
                                  <w:rPr>
                                    <w:color w:val="696464" w:themeColor="text2"/>
                                  </w:rPr>
                                </w:pPr>
                                <w:r>
                                  <w:rPr>
                                    <w:color w:val="696464" w:themeColor="text2"/>
                                    <w:lang w:val="es"/>
                                  </w:rPr>
                                  <w:t>Oficial de Información Pública</w:t>
                                </w:r>
                              </w:p>
                              <w:p w14:paraId="17DFD505" w14:textId="77777777" w:rsidR="00760344" w:rsidRDefault="00760344" w:rsidP="00760344">
                                <w:pPr>
                                  <w:pStyle w:val="NoSpacing"/>
                                </w:pPr>
                                <w:r>
                                  <w:rPr>
                                    <w:lang w:val="es"/>
                                  </w:rPr>
                                  <w:t>Oficina de Servicios de Emergencia del Condado de San Joaquín</w:t>
                                </w:r>
                              </w:p>
                              <w:p w14:paraId="2EB78703" w14:textId="77777777" w:rsidR="00760344" w:rsidRDefault="00760344" w:rsidP="00760344">
                                <w:pPr>
                                  <w:pStyle w:val="NoSpacing"/>
                                </w:pPr>
                                <w:r>
                                  <w:rPr>
                                    <w:lang w:val="es"/>
                                  </w:rPr>
                                  <w:t>2101 E. Earhart Ave., Ste 300</w:t>
                                </w:r>
                              </w:p>
                              <w:p w14:paraId="0AED2DDD" w14:textId="77777777" w:rsidR="00760344" w:rsidRDefault="00760344" w:rsidP="00760344">
                                <w:pPr>
                                  <w:pStyle w:val="NoSpacing"/>
                                </w:pPr>
                                <w:r>
                                  <w:rPr>
                                    <w:lang w:val="es"/>
                                  </w:rPr>
                                  <w:t>Stockton, CA 95206</w:t>
                                </w:r>
                              </w:p>
                              <w:p w14:paraId="00DF75EE" w14:textId="77777777" w:rsidR="00760344" w:rsidRDefault="00760344" w:rsidP="00760344">
                                <w:pPr>
                                  <w:pStyle w:val="NoSpacing"/>
                                </w:pPr>
                                <w:r>
                                  <w:rPr>
                                    <w:lang w:val="es"/>
                                  </w:rPr>
                                  <w:t>OFC: (209) 953-6075</w:t>
                                </w:r>
                              </w:p>
                              <w:p w14:paraId="6175BE8E" w14:textId="77777777" w:rsidR="00760344" w:rsidRDefault="00760344" w:rsidP="00760344">
                                <w:pPr>
                                  <w:pStyle w:val="NoSpacing"/>
                                </w:pPr>
                                <w:r>
                                  <w:rPr>
                                    <w:lang w:val="es"/>
                                  </w:rPr>
                                  <w:t>Celular: (209) 616-2057</w:t>
                                </w:r>
                              </w:p>
                              <w:p w14:paraId="13C7ED7C" w14:textId="1C24B8B5" w:rsidR="00760344" w:rsidRDefault="00760344" w:rsidP="00760344">
                                <w:pPr>
                                  <w:pStyle w:val="NoSpacing"/>
                                </w:pPr>
                                <w:r>
                                  <w:rPr>
                                    <w:lang w:val="es"/>
                                  </w:rPr>
                                  <w:t xml:space="preserve">Correo electrónico: </w:t>
                                </w:r>
                                <w:hyperlink r:id="rId6" w:history="1">
                                  <w:r>
                                    <w:rPr>
                                      <w:rStyle w:val="Hyperlink"/>
                                      <w:lang w:val="es"/>
                                    </w:rPr>
                                    <w:t>kxiong@sjgov.org</w:t>
                                  </w:r>
                                </w:hyperlink>
                              </w:p>
                              <w:p w14:paraId="5E952696" w14:textId="29175A8B" w:rsidR="00760344" w:rsidRDefault="00760344" w:rsidP="00760344">
                                <w:pPr>
                                  <w:pStyle w:val="NoSpacing"/>
                                </w:pPr>
                                <w:r>
                                  <w:rPr>
                                    <w:lang w:val="es"/>
                                  </w:rPr>
                                  <w:t xml:space="preserve">Sitio web: </w:t>
                                </w:r>
                                <w:hyperlink r:id="rId7" w:history="1">
                                  <w:r>
                                    <w:rPr>
                                      <w:rStyle w:val="Hyperlink"/>
                                      <w:lang w:val="es"/>
                                    </w:rPr>
                                    <w:t>www.sjready.org</w:t>
                                  </w:r>
                                </w:hyperlink>
                                <w:r>
                                  <w:rPr>
                                    <w:lang w:val="es"/>
                                  </w:rPr>
                                  <w:t xml:space="preserve"> </w:t>
                                </w:r>
                              </w:p>
                            </w:tc>
                          </w:tr>
                        </w:tbl>
                        <w:p w14:paraId="7175B2B1" w14:textId="77777777" w:rsidR="00760344" w:rsidRDefault="00760344"/>
                      </w:txbxContent>
                    </v:textbox>
                    <w10:wrap anchorx="page" anchory="page"/>
                  </v:shape>
                </w:pict>
              </mc:Fallback>
            </mc:AlternateContent>
          </w:r>
          <w:r>
            <w:rPr>
              <w:sz w:val="40"/>
              <w:szCs w:val="40"/>
              <w:lang w:val="es"/>
            </w:rPr>
            <w:br w:type="page"/>
          </w:r>
        </w:p>
      </w:sdtContent>
    </w:sdt>
    <w:p w14:paraId="1FCA4ED1" w14:textId="63798D52" w:rsidR="00194B48" w:rsidRPr="00194B48" w:rsidRDefault="00194B48" w:rsidP="00194B48">
      <w:pPr>
        <w:pStyle w:val="Title"/>
        <w:jc w:val="center"/>
        <w:rPr>
          <w:sz w:val="40"/>
          <w:szCs w:val="40"/>
        </w:rPr>
      </w:pPr>
      <w:r>
        <w:rPr>
          <w:sz w:val="40"/>
          <w:szCs w:val="40"/>
          <w:lang w:val="es"/>
        </w:rPr>
        <w:lastRenderedPageBreak/>
        <w:t>Mes de la Preparación Comunitaria</w:t>
      </w:r>
    </w:p>
    <w:p w14:paraId="3C51F330" w14:textId="77777777" w:rsidR="00194B48" w:rsidRDefault="00194B48" w:rsidP="00194B48"/>
    <w:p w14:paraId="5DD33B0F" w14:textId="4A42835F" w:rsidR="00194B48" w:rsidRPr="00760344" w:rsidRDefault="00EC49F9" w:rsidP="00194B48">
      <w:pPr>
        <w:pStyle w:val="Heading1"/>
        <w:rPr>
          <w:b/>
          <w:bCs/>
          <w:sz w:val="32"/>
          <w:szCs w:val="32"/>
        </w:rPr>
      </w:pPr>
      <w:r>
        <w:rPr>
          <w:b/>
          <w:bCs/>
          <w:sz w:val="32"/>
          <w:szCs w:val="32"/>
          <w:lang w:val="es"/>
        </w:rPr>
        <w:t>Anuncio del Mes de la Preparación Comunitaria</w:t>
      </w:r>
    </w:p>
    <w:p w14:paraId="2B563273" w14:textId="79C32362" w:rsidR="00FA4ABB" w:rsidRPr="00FA4ABB" w:rsidRDefault="00FA4ABB" w:rsidP="00194B48">
      <w:pPr>
        <w:rPr>
          <w:b/>
          <w:bCs/>
        </w:rPr>
      </w:pPr>
      <w:r>
        <w:rPr>
          <w:b/>
          <w:bCs/>
          <w:lang w:val="es"/>
        </w:rPr>
        <w:t>Facebook, Instagram, Nextdoor</w:t>
      </w:r>
    </w:p>
    <w:p w14:paraId="66759023" w14:textId="15E685FD" w:rsidR="00194B48" w:rsidRDefault="00FA4ABB" w:rsidP="00194B48">
      <w:r>
        <w:rPr>
          <w:lang w:val="es"/>
        </w:rPr>
        <w:t xml:space="preserve">Cada septiembre, el Condado de San Joaquín reconoce el Mes de la Preparación Comunitaria como un importante recordatorio para tomar acción antes de que ocurra un desastre. Las emergencias suelen presentarse sin previo aviso, pero las medidas que tomamos hoy pueden marcar la diferencia mañana. La preparación no nace del miedo. Se basa en el empoderamiento. Al reunir suministros, saber a dónde ir y conversar con nuestros seres queridos sobre qué hacer en caso de una emergencia, creamos la confianza y la tranquilidad necesarias para enfrentar lo inesperado. Para más información, visite </w:t>
      </w:r>
      <w:hyperlink r:id="rId8" w:history="1">
        <w:r>
          <w:rPr>
            <w:rStyle w:val="Hyperlink"/>
            <w:lang w:val="es"/>
          </w:rPr>
          <w:t>www.sjready.org.</w:t>
        </w:r>
      </w:hyperlink>
    </w:p>
    <w:p w14:paraId="20F998E8" w14:textId="77777777" w:rsidR="003A323C" w:rsidRDefault="003A323C" w:rsidP="00194B48"/>
    <w:p w14:paraId="7B7EF4B9" w14:textId="507F5B89" w:rsidR="00EC49F9" w:rsidRPr="00EC49F9" w:rsidRDefault="00EC49F9" w:rsidP="00194B48">
      <w:pPr>
        <w:rPr>
          <w:b/>
          <w:bCs/>
        </w:rPr>
      </w:pPr>
      <w:r>
        <w:rPr>
          <w:b/>
          <w:bCs/>
          <w:lang w:val="es"/>
        </w:rPr>
        <w:t>X</w:t>
      </w:r>
    </w:p>
    <w:p w14:paraId="3168689A" w14:textId="39DFC10E" w:rsidR="00EC49F9" w:rsidRDefault="00EC49F9" w:rsidP="00EC49F9">
      <w:r>
        <w:rPr>
          <w:lang w:val="es"/>
        </w:rPr>
        <w:t xml:space="preserve">Cada septiembre, el Condado de San Joaquín reconoce el Mes de la Preparación Comunitaria como un importante recordatorio para tomar acción antes de que ocurra un desastre. La preparación no nace del miedo. Se basa en el empoderamiento. Para más información, visite </w:t>
      </w:r>
      <w:hyperlink r:id="rId9" w:history="1">
        <w:r>
          <w:rPr>
            <w:rStyle w:val="Hyperlink"/>
            <w:lang w:val="es"/>
          </w:rPr>
          <w:t>www.sjready.org.</w:t>
        </w:r>
      </w:hyperlink>
      <w:r>
        <w:rPr>
          <w:lang w:val="es"/>
        </w:rPr>
        <w:t xml:space="preserve"> </w:t>
      </w:r>
    </w:p>
    <w:p w14:paraId="78407EA6" w14:textId="77777777" w:rsidR="003A323C" w:rsidRDefault="003A323C" w:rsidP="00EC49F9"/>
    <w:p w14:paraId="4F0F7224" w14:textId="0BF005B5" w:rsidR="003A323C" w:rsidRPr="003A323C" w:rsidRDefault="003A323C" w:rsidP="00EC49F9">
      <w:pPr>
        <w:rPr>
          <w:b/>
          <w:bCs/>
        </w:rPr>
      </w:pPr>
      <w:r>
        <w:rPr>
          <w:b/>
          <w:bCs/>
          <w:lang w:val="es"/>
        </w:rPr>
        <w:t>Texto alternativo</w:t>
      </w:r>
    </w:p>
    <w:p w14:paraId="32CA3D2A" w14:textId="519E3909" w:rsidR="003A323C" w:rsidRDefault="003A323C" w:rsidP="00EC49F9">
      <w:r>
        <w:rPr>
          <w:lang w:val="es"/>
        </w:rPr>
        <w:t>Fondo azul y naranja con una ilustración de un grupo diverso de personas de pie debajo de un árbol con hojas en forma de huellas de manos de colores.</w:t>
      </w:r>
    </w:p>
    <w:p w14:paraId="5D48155D" w14:textId="77777777" w:rsidR="00EC49F9" w:rsidRDefault="00EC49F9" w:rsidP="00194B48"/>
    <w:p w14:paraId="518BF719" w14:textId="573ADE00" w:rsidR="00194B48" w:rsidRDefault="00194B48" w:rsidP="00194B48">
      <w:pPr>
        <w:pStyle w:val="Heading2"/>
      </w:pPr>
      <w:r>
        <w:rPr>
          <w:lang w:val="es"/>
        </w:rPr>
        <w:t>Mensaje de seguimiento: Héroes</w:t>
      </w:r>
    </w:p>
    <w:p w14:paraId="5F7DD7F5" w14:textId="77777777" w:rsidR="00FA4ABB" w:rsidRPr="00FA4ABB" w:rsidRDefault="00FA4ABB" w:rsidP="00FA4ABB">
      <w:pPr>
        <w:rPr>
          <w:b/>
          <w:bCs/>
        </w:rPr>
      </w:pPr>
      <w:r>
        <w:rPr>
          <w:b/>
          <w:bCs/>
          <w:lang w:val="es"/>
        </w:rPr>
        <w:t>Facebook, Instagram, Nextdoor</w:t>
      </w:r>
    </w:p>
    <w:p w14:paraId="0B8D9F25" w14:textId="0EE2ED11" w:rsidR="00194B48" w:rsidRDefault="00194B48" w:rsidP="00194B48">
      <w:r>
        <w:rPr>
          <w:lang w:val="es"/>
        </w:rPr>
        <w:t xml:space="preserve">Los héroes no solo existen en los cómics o en las películas. En la vida real, los héroes son los padres que crean un plan familiar de emergencia, los vecinos que se cuidan mutuamente durante las tormentas y los miembros de la comunidad que se preparan antes de que ocurra un desastre. El Mes de la Preparación Comunitaria nos recuerda que cada uno de nosotros tiene el poder de proteger a quienes ama. Al tomar pequeñas medidas ahora, como preparar un kit de emergencia, conocer las rutas de evacuación y practicar simulacros de seguridad, asumimos ese papel heroico para nuestras familias y nuestra comunidad. Para más información, visite </w:t>
      </w:r>
      <w:hyperlink r:id="rId10" w:history="1">
        <w:r>
          <w:rPr>
            <w:rStyle w:val="Hyperlink"/>
            <w:lang w:val="es"/>
          </w:rPr>
          <w:t>www.sjready.org.</w:t>
        </w:r>
      </w:hyperlink>
    </w:p>
    <w:p w14:paraId="3BF00AAA" w14:textId="02D5EE7C" w:rsidR="00EC49F9" w:rsidRDefault="00EC49F9" w:rsidP="00194B48">
      <w:pPr>
        <w:rPr>
          <w:b/>
          <w:bCs/>
        </w:rPr>
      </w:pPr>
      <w:r>
        <w:rPr>
          <w:b/>
          <w:bCs/>
          <w:lang w:val="es"/>
        </w:rPr>
        <w:t>X</w:t>
      </w:r>
    </w:p>
    <w:p w14:paraId="6C34EBD9" w14:textId="672FBC12" w:rsidR="00EC49F9" w:rsidRDefault="00EC49F9" w:rsidP="00194B48">
      <w:r>
        <w:rPr>
          <w:lang w:val="es"/>
        </w:rPr>
        <w:t xml:space="preserve">Los héroes no solo existen en los cómics o en las películas. Son padres que crean un plan familiar de emergencia, vecinos que se apoyan durante tormentas y miembros de la comunidad que se preparan antes de que ocurra un desastre. Para más información, visite </w:t>
      </w:r>
      <w:hyperlink r:id="rId11" w:history="1">
        <w:r>
          <w:rPr>
            <w:rStyle w:val="Hyperlink"/>
            <w:lang w:val="es"/>
          </w:rPr>
          <w:t>www.sjready.org.</w:t>
        </w:r>
      </w:hyperlink>
    </w:p>
    <w:p w14:paraId="13F257B2" w14:textId="77777777" w:rsidR="006F0C38" w:rsidRPr="003A323C" w:rsidRDefault="006F0C38" w:rsidP="006F0C38">
      <w:pPr>
        <w:rPr>
          <w:b/>
          <w:bCs/>
        </w:rPr>
      </w:pPr>
      <w:r>
        <w:rPr>
          <w:b/>
          <w:bCs/>
          <w:lang w:val="es"/>
        </w:rPr>
        <w:t>Texto alternativo</w:t>
      </w:r>
    </w:p>
    <w:p w14:paraId="558CC1C4" w14:textId="18823B63" w:rsidR="006F0C38" w:rsidRPr="006F0C38" w:rsidRDefault="006F0C38" w:rsidP="00194B48">
      <w:r>
        <w:rPr>
          <w:lang w:val="es"/>
        </w:rPr>
        <w:t>Fondo azul y naranja con una ilustración de adolescentes usando capas de superhéroes.</w:t>
      </w:r>
    </w:p>
    <w:p w14:paraId="68AD59A0" w14:textId="190B0D17" w:rsidR="00194B48" w:rsidRPr="00760344" w:rsidRDefault="00194B48" w:rsidP="00194B48">
      <w:pPr>
        <w:pStyle w:val="Heading1"/>
        <w:rPr>
          <w:b/>
          <w:bCs/>
          <w:sz w:val="32"/>
          <w:szCs w:val="32"/>
        </w:rPr>
      </w:pPr>
      <w:r>
        <w:rPr>
          <w:b/>
          <w:bCs/>
          <w:sz w:val="32"/>
          <w:szCs w:val="32"/>
          <w:lang w:val="es"/>
        </w:rPr>
        <w:lastRenderedPageBreak/>
        <w:t>Héroes de Todos los Días</w:t>
      </w:r>
    </w:p>
    <w:p w14:paraId="79D2B26F" w14:textId="77777777" w:rsidR="00FA4ABB" w:rsidRPr="00FA4ABB" w:rsidRDefault="00FA4ABB" w:rsidP="00FA4ABB">
      <w:pPr>
        <w:rPr>
          <w:b/>
          <w:bCs/>
        </w:rPr>
      </w:pPr>
      <w:r>
        <w:rPr>
          <w:b/>
          <w:bCs/>
          <w:lang w:val="es"/>
        </w:rPr>
        <w:t>Facebook, Instagram, Nextdoor</w:t>
      </w:r>
    </w:p>
    <w:p w14:paraId="5D5442E3" w14:textId="77777777" w:rsidR="00194B48" w:rsidRDefault="00194B48" w:rsidP="00194B48">
      <w:r>
        <w:rPr>
          <w:lang w:val="es"/>
        </w:rPr>
        <w:t>El verdadero heroísmo no consiste en correr hacia el peligro. Consiste en planificar con anticipación para que, cuando ocurra lo inesperado, sus seres queridos estén seguros y respaldados. El Mes Nacional de la Preparación nos invita a reflexionar sobre cómo podemos ser héroes en nuestra vida cotidiana. ¿Tiene un plan de comunicación con su familia? ¿Cuenta con suministros listos en caso de que necesite evacuar su hogar rápidamente? Tomarse el tiempo para prepararse hoy significa estar listo para liderar cuando más importa.</w:t>
      </w:r>
    </w:p>
    <w:p w14:paraId="3ADC9EE4" w14:textId="77777777" w:rsidR="006F0C38" w:rsidRDefault="006F0C38" w:rsidP="00194B48">
      <w:pPr>
        <w:rPr>
          <w:b/>
          <w:bCs/>
        </w:rPr>
      </w:pPr>
    </w:p>
    <w:p w14:paraId="454B6D59" w14:textId="551C5458" w:rsidR="00EC49F9" w:rsidRDefault="00EC49F9" w:rsidP="00194B48">
      <w:pPr>
        <w:rPr>
          <w:b/>
          <w:bCs/>
        </w:rPr>
      </w:pPr>
      <w:r>
        <w:rPr>
          <w:b/>
          <w:bCs/>
          <w:lang w:val="es"/>
        </w:rPr>
        <w:t>X</w:t>
      </w:r>
    </w:p>
    <w:p w14:paraId="797CAA3F" w14:textId="53AC13DB" w:rsidR="00EC49F9" w:rsidRDefault="00EC49F9" w:rsidP="00EC49F9">
      <w:r>
        <w:rPr>
          <w:lang w:val="es"/>
        </w:rPr>
        <w:t xml:space="preserve">El verdadero heroísmo no consiste en correr hacia el peligro. Consiste en planificar con anticipación. Tomarse el tiempo para prepararse hoy significa estar listo para liderar cuando más importa. Para más información, visite </w:t>
      </w:r>
      <w:hyperlink r:id="rId12" w:history="1">
        <w:r>
          <w:rPr>
            <w:rStyle w:val="Hyperlink"/>
            <w:lang w:val="es"/>
          </w:rPr>
          <w:t>www.sjready.org.</w:t>
        </w:r>
      </w:hyperlink>
    </w:p>
    <w:p w14:paraId="3628C50D" w14:textId="77777777" w:rsidR="006F0C38" w:rsidRDefault="006F0C38" w:rsidP="006F0C38">
      <w:pPr>
        <w:rPr>
          <w:b/>
          <w:bCs/>
        </w:rPr>
      </w:pPr>
    </w:p>
    <w:p w14:paraId="261413DB" w14:textId="5BF08B9C" w:rsidR="006F0C38" w:rsidRPr="003A323C" w:rsidRDefault="006F0C38" w:rsidP="006F0C38">
      <w:pPr>
        <w:rPr>
          <w:b/>
          <w:bCs/>
        </w:rPr>
      </w:pPr>
      <w:r>
        <w:rPr>
          <w:b/>
          <w:bCs/>
          <w:lang w:val="es"/>
        </w:rPr>
        <w:t>Texto alternativo</w:t>
      </w:r>
    </w:p>
    <w:p w14:paraId="6B4A880E" w14:textId="125A557A" w:rsidR="006F0C38" w:rsidRDefault="006F0C38" w:rsidP="006F0C38">
      <w:r>
        <w:rPr>
          <w:lang w:val="es"/>
        </w:rPr>
        <w:t>Fondo azul y naranja con una ilustración de un grupo diverso de personas de distintas profesiones.</w:t>
      </w:r>
    </w:p>
    <w:p w14:paraId="2D9B2FFA" w14:textId="121A1A14" w:rsidR="00194B48" w:rsidRPr="00760344" w:rsidRDefault="00194B48" w:rsidP="00194B48">
      <w:pPr>
        <w:pStyle w:val="Heading1"/>
        <w:rPr>
          <w:b/>
          <w:bCs/>
          <w:sz w:val="32"/>
          <w:szCs w:val="32"/>
        </w:rPr>
      </w:pPr>
      <w:r>
        <w:rPr>
          <w:b/>
          <w:bCs/>
          <w:sz w:val="32"/>
          <w:szCs w:val="32"/>
          <w:lang w:val="es"/>
        </w:rPr>
        <w:t>Prepare un Kit de Suministros de Emergencia</w:t>
      </w:r>
    </w:p>
    <w:p w14:paraId="231443C3" w14:textId="77777777" w:rsidR="00FA4ABB" w:rsidRPr="00FA4ABB" w:rsidRDefault="00FA4ABB" w:rsidP="00FA4ABB">
      <w:pPr>
        <w:rPr>
          <w:b/>
          <w:bCs/>
        </w:rPr>
      </w:pPr>
      <w:r>
        <w:rPr>
          <w:b/>
          <w:bCs/>
          <w:lang w:val="es"/>
        </w:rPr>
        <w:t>Facebook, Instagram, Nextdoor</w:t>
      </w:r>
    </w:p>
    <w:p w14:paraId="358C6695" w14:textId="3F7EFDAA" w:rsidR="00194B48" w:rsidRDefault="00194B48" w:rsidP="00194B48">
      <w:r>
        <w:rPr>
          <w:lang w:val="es"/>
        </w:rPr>
        <w:t xml:space="preserve">Algunos héroes llevan escudos. Otros llevan linternas, botiquines de primeros auxilios y agua embotellada. La preparación es una de las herramientas más poderosas que tenemos para proteger a las personas que amamos. El Mes de la Preparación Comunitaria es el momento perfecto para actuar. Hable con su familia sobre dónde reunirse si se separan, reúna suministros para al menos tres días e inscríbase para recibir alertas locales de emergencia. Tal vez no lo note, pero estas pequeñas acciones pueden convertirlo en un héroe cuando más importa. Para más información, visite </w:t>
      </w:r>
      <w:hyperlink r:id="rId13" w:history="1">
        <w:r>
          <w:rPr>
            <w:rStyle w:val="Hyperlink"/>
            <w:lang w:val="es"/>
          </w:rPr>
          <w:t>www.sjready.org.</w:t>
        </w:r>
      </w:hyperlink>
    </w:p>
    <w:p w14:paraId="6056362E" w14:textId="77777777" w:rsidR="006F0C38" w:rsidRDefault="006F0C38" w:rsidP="00194B48">
      <w:pPr>
        <w:rPr>
          <w:b/>
          <w:bCs/>
        </w:rPr>
      </w:pPr>
    </w:p>
    <w:p w14:paraId="2CA1546F" w14:textId="15FE858D" w:rsidR="00EC49F9" w:rsidRDefault="00EC49F9" w:rsidP="00194B48">
      <w:pPr>
        <w:rPr>
          <w:b/>
          <w:bCs/>
        </w:rPr>
      </w:pPr>
      <w:r>
        <w:rPr>
          <w:b/>
          <w:bCs/>
          <w:lang w:val="es"/>
        </w:rPr>
        <w:t>X</w:t>
      </w:r>
    </w:p>
    <w:p w14:paraId="06C925D6" w14:textId="4C7C5F75" w:rsidR="00EC49F9" w:rsidRDefault="00EC49F9" w:rsidP="00EC49F9">
      <w:r>
        <w:rPr>
          <w:lang w:val="es"/>
        </w:rPr>
        <w:t xml:space="preserve">Algunos héroes llevan escudos. Otros llevan linternas, botiquines de primeros auxilios y agua embotellada. La preparación es una de las herramientas más poderosas que tenemos para proteger a las personas que amamos. Para más información, visite </w:t>
      </w:r>
      <w:hyperlink r:id="rId14" w:history="1">
        <w:r>
          <w:rPr>
            <w:rStyle w:val="Hyperlink"/>
            <w:lang w:val="es"/>
          </w:rPr>
          <w:t>www.sjready.org.</w:t>
        </w:r>
      </w:hyperlink>
    </w:p>
    <w:p w14:paraId="71564769" w14:textId="77777777" w:rsidR="006F0C38" w:rsidRDefault="006F0C38" w:rsidP="006F0C38">
      <w:pPr>
        <w:rPr>
          <w:b/>
          <w:bCs/>
        </w:rPr>
      </w:pPr>
    </w:p>
    <w:p w14:paraId="6A918ACA" w14:textId="78D3D318" w:rsidR="006F0C38" w:rsidRPr="003A323C" w:rsidRDefault="006F0C38" w:rsidP="006F0C38">
      <w:pPr>
        <w:rPr>
          <w:b/>
          <w:bCs/>
        </w:rPr>
      </w:pPr>
      <w:r>
        <w:rPr>
          <w:b/>
          <w:bCs/>
          <w:lang w:val="es"/>
        </w:rPr>
        <w:t>Texto alternativo</w:t>
      </w:r>
    </w:p>
    <w:p w14:paraId="6C865766" w14:textId="19C0B858" w:rsidR="006F0C38" w:rsidRDefault="006F0C38" w:rsidP="006F0C38">
      <w:r>
        <w:rPr>
          <w:lang w:val="es"/>
        </w:rPr>
        <w:t>Fondo azul y naranja con una ilustración de una comunidad preparada para ayudar a sus vecinos, con una linterna, un botiquín de emergencia y una mujer vendando la rodilla de un vecino herido.</w:t>
      </w:r>
    </w:p>
    <w:p w14:paraId="16AC49A2" w14:textId="77777777" w:rsidR="006F0C38" w:rsidRDefault="006F0C38" w:rsidP="00EC49F9"/>
    <w:p w14:paraId="7B73B34C" w14:textId="3B1E0CA4" w:rsidR="00194B48" w:rsidRPr="00760344" w:rsidRDefault="00194B48" w:rsidP="00194B48">
      <w:pPr>
        <w:pStyle w:val="Heading1"/>
        <w:rPr>
          <w:b/>
          <w:bCs/>
          <w:sz w:val="32"/>
          <w:szCs w:val="32"/>
        </w:rPr>
      </w:pPr>
      <w:r>
        <w:rPr>
          <w:b/>
          <w:bCs/>
          <w:sz w:val="32"/>
          <w:szCs w:val="32"/>
          <w:lang w:val="es"/>
        </w:rPr>
        <w:lastRenderedPageBreak/>
        <w:t>Listo en 3 pasos</w:t>
      </w:r>
    </w:p>
    <w:p w14:paraId="5B7857FF" w14:textId="77777777" w:rsidR="00FA4ABB" w:rsidRPr="00FA4ABB" w:rsidRDefault="00FA4ABB" w:rsidP="00FA4ABB">
      <w:pPr>
        <w:rPr>
          <w:b/>
          <w:bCs/>
        </w:rPr>
      </w:pPr>
      <w:r>
        <w:rPr>
          <w:b/>
          <w:bCs/>
          <w:lang w:val="es"/>
        </w:rPr>
        <w:t>Facebook, Instagram, Nextdoor</w:t>
      </w:r>
    </w:p>
    <w:p w14:paraId="20B26DD0" w14:textId="2644F57C" w:rsidR="00194B48" w:rsidRPr="00EC49F9" w:rsidRDefault="00194B48" w:rsidP="00194B48">
      <w:pPr>
        <w:rPr>
          <w:b/>
          <w:bCs/>
        </w:rPr>
      </w:pPr>
      <w:r>
        <w:rPr>
          <w:lang w:val="es"/>
        </w:rPr>
        <w:t xml:space="preserve">Cuando ocurren emergencias, la diferencia entre el miedo y la confianza a menudo se reduce a una sola cosa: la preparación. Este Mes de la Preparación Comunitaria, lo invitamos a considerar la preparación como un acto de heroísmo. Al inscribirse en las Alertas SJReady, crear un plan de emergencia y preparar un kit de suministros de emergencia, está brindando a su familia el regalo de la seguridad y la tranquilidad. En momentos de crisis, los héroes son quienes ya se han tomado el tiempo para prepararse. Para más información, visite </w:t>
      </w:r>
      <w:hyperlink r:id="rId15" w:history="1">
        <w:r>
          <w:rPr>
            <w:rStyle w:val="Hyperlink"/>
            <w:lang w:val="es"/>
          </w:rPr>
          <w:t>www.sjready.org.</w:t>
        </w:r>
      </w:hyperlink>
    </w:p>
    <w:p w14:paraId="7C2BD8AD" w14:textId="77777777" w:rsidR="006F0C38" w:rsidRDefault="006F0C38" w:rsidP="00194B48">
      <w:pPr>
        <w:rPr>
          <w:b/>
          <w:bCs/>
        </w:rPr>
      </w:pPr>
    </w:p>
    <w:p w14:paraId="2C48874C" w14:textId="6CF13284" w:rsidR="00EC49F9" w:rsidRDefault="00EC49F9" w:rsidP="00194B48">
      <w:pPr>
        <w:rPr>
          <w:b/>
          <w:bCs/>
        </w:rPr>
      </w:pPr>
      <w:r>
        <w:rPr>
          <w:b/>
          <w:bCs/>
          <w:lang w:val="es"/>
        </w:rPr>
        <w:t>X</w:t>
      </w:r>
    </w:p>
    <w:p w14:paraId="51881648" w14:textId="365BA94C" w:rsidR="00EC49F9" w:rsidRDefault="00EC49F9" w:rsidP="00194B48">
      <w:r>
        <w:rPr>
          <w:lang w:val="es"/>
        </w:rPr>
        <w:t xml:space="preserve">Cuando ocurren emergencias, la diferencia entre el miedo y la confianza a menudo se reduce a una sola cosa: la preparación. Le invitamos a considerar la preparación como un acto de heroísmo. Para más información, visite </w:t>
      </w:r>
      <w:hyperlink r:id="rId16" w:history="1">
        <w:r>
          <w:rPr>
            <w:rStyle w:val="Hyperlink"/>
            <w:lang w:val="es"/>
          </w:rPr>
          <w:t>www.sjready.org.</w:t>
        </w:r>
      </w:hyperlink>
      <w:r>
        <w:rPr>
          <w:lang w:val="es"/>
        </w:rPr>
        <w:t xml:space="preserve"> </w:t>
      </w:r>
    </w:p>
    <w:p w14:paraId="1317F952" w14:textId="77777777" w:rsidR="006F0C38" w:rsidRDefault="006F0C38" w:rsidP="00194B48"/>
    <w:p w14:paraId="4B0F2C8B" w14:textId="77777777" w:rsidR="006F0C38" w:rsidRPr="003A323C" w:rsidRDefault="006F0C38" w:rsidP="006F0C38">
      <w:pPr>
        <w:rPr>
          <w:b/>
          <w:bCs/>
        </w:rPr>
      </w:pPr>
      <w:r>
        <w:rPr>
          <w:b/>
          <w:bCs/>
          <w:lang w:val="es"/>
        </w:rPr>
        <w:t>Texto alternativo</w:t>
      </w:r>
    </w:p>
    <w:p w14:paraId="202CACE3" w14:textId="249A0673" w:rsidR="006F0C38" w:rsidRDefault="006F0C38" w:rsidP="006F0C38">
      <w:r>
        <w:rPr>
          <w:lang w:val="es"/>
        </w:rPr>
        <w:t>Fondo azul y naranja con una ilustración de una persona recibiendo una alerta de terremoto en su teléfono, de pie junto a sus suministros de emergencia.</w:t>
      </w:r>
    </w:p>
    <w:p w14:paraId="24401FC2" w14:textId="77777777" w:rsidR="006F0C38" w:rsidRPr="00EC49F9" w:rsidRDefault="006F0C38" w:rsidP="00194B48">
      <w:pPr>
        <w:rPr>
          <w:b/>
          <w:bCs/>
        </w:rPr>
      </w:pPr>
    </w:p>
    <w:p w14:paraId="5EB64130" w14:textId="77777777" w:rsidR="00194B48" w:rsidRPr="00760344" w:rsidRDefault="00194B48" w:rsidP="00194B48">
      <w:pPr>
        <w:pStyle w:val="Heading1"/>
        <w:rPr>
          <w:b/>
          <w:bCs/>
          <w:sz w:val="32"/>
          <w:szCs w:val="32"/>
        </w:rPr>
      </w:pPr>
      <w:r>
        <w:rPr>
          <w:b/>
          <w:bCs/>
          <w:sz w:val="32"/>
          <w:szCs w:val="32"/>
          <w:lang w:val="es"/>
        </w:rPr>
        <w:t>Fortaleciendo la Resiliencia</w:t>
      </w:r>
    </w:p>
    <w:p w14:paraId="32D4A868" w14:textId="77777777" w:rsidR="00FA4ABB" w:rsidRPr="00FA4ABB" w:rsidRDefault="00FA4ABB" w:rsidP="00FA4ABB">
      <w:pPr>
        <w:rPr>
          <w:b/>
          <w:bCs/>
        </w:rPr>
      </w:pPr>
      <w:r>
        <w:rPr>
          <w:b/>
          <w:bCs/>
          <w:lang w:val="es"/>
        </w:rPr>
        <w:t>Facebook, Instagram, Nextdoor</w:t>
      </w:r>
    </w:p>
    <w:p w14:paraId="3E144F37" w14:textId="0695C611" w:rsidR="00D45BF3" w:rsidRDefault="00194B48" w:rsidP="00194B48">
      <w:r>
        <w:rPr>
          <w:lang w:val="es"/>
        </w:rPr>
        <w:t xml:space="preserve">La preparación es más que una lista de verificación. Se trata de fortalecer la resiliencia. Cada paso que usted da, grande o pequeño, lo hace más fuerte frente a la incertidumbre. Este mes nos recuerda que la resiliencia está al alcance de todos los hogares. Comience hoy con una acción y comprométase a agregar otra mañana. Con el tiempo, construirá una base de preparación que lo apoyará a usted y a su comunidad. Para más información, visite </w:t>
      </w:r>
      <w:hyperlink r:id="rId17" w:history="1">
        <w:r>
          <w:rPr>
            <w:rStyle w:val="Hyperlink"/>
            <w:lang w:val="es"/>
          </w:rPr>
          <w:t>www.sjready.org.</w:t>
        </w:r>
      </w:hyperlink>
    </w:p>
    <w:p w14:paraId="589B60EF" w14:textId="77777777" w:rsidR="006F0C38" w:rsidRDefault="006F0C38" w:rsidP="00194B48"/>
    <w:p w14:paraId="12A91C8E" w14:textId="7CB93A17" w:rsidR="00EC49F9" w:rsidRDefault="00EC49F9" w:rsidP="00194B48">
      <w:pPr>
        <w:rPr>
          <w:b/>
          <w:bCs/>
        </w:rPr>
      </w:pPr>
      <w:r>
        <w:rPr>
          <w:b/>
          <w:bCs/>
          <w:lang w:val="es"/>
        </w:rPr>
        <w:t>X</w:t>
      </w:r>
    </w:p>
    <w:p w14:paraId="6FCA527C" w14:textId="1B466F0D" w:rsidR="00EC49F9" w:rsidRDefault="00EC49F9" w:rsidP="00EC49F9">
      <w:r>
        <w:rPr>
          <w:lang w:val="es"/>
        </w:rPr>
        <w:t xml:space="preserve">La preparación consiste en fortalecer la resiliencia. Cada paso que usted da, grande o pequeño, lo hace más fuerte frente a la incertidumbre. Este mes nos recuerda que la resiliencia está al alcance de todos los hogares. Para más información, visite </w:t>
      </w:r>
      <w:hyperlink r:id="rId18" w:history="1">
        <w:r>
          <w:rPr>
            <w:rStyle w:val="Hyperlink"/>
            <w:lang w:val="es"/>
          </w:rPr>
          <w:t>www.sjready.org.</w:t>
        </w:r>
      </w:hyperlink>
    </w:p>
    <w:p w14:paraId="2437126B" w14:textId="77777777" w:rsidR="00EC49F9" w:rsidRDefault="00EC49F9" w:rsidP="00194B48">
      <w:pPr>
        <w:rPr>
          <w:b/>
          <w:bCs/>
        </w:rPr>
      </w:pPr>
    </w:p>
    <w:p w14:paraId="178F69B2" w14:textId="77777777" w:rsidR="006F0C38" w:rsidRPr="003A323C" w:rsidRDefault="006F0C38" w:rsidP="006F0C38">
      <w:pPr>
        <w:rPr>
          <w:b/>
          <w:bCs/>
        </w:rPr>
      </w:pPr>
      <w:r>
        <w:rPr>
          <w:b/>
          <w:bCs/>
          <w:lang w:val="es"/>
        </w:rPr>
        <w:t>Texto alternativo</w:t>
      </w:r>
    </w:p>
    <w:p w14:paraId="1CFFACA8" w14:textId="1A5CBC6E" w:rsidR="006F0C38" w:rsidRPr="00EC49F9" w:rsidRDefault="006F0C38" w:rsidP="00194B48">
      <w:pPr>
        <w:rPr>
          <w:b/>
          <w:bCs/>
        </w:rPr>
      </w:pPr>
      <w:r>
        <w:rPr>
          <w:lang w:val="es"/>
        </w:rPr>
        <w:t>Fondo azul y naranja con una ilustración de una trabajadora de servicios de emergencia cargando a un niño fuera de una zona inundada.</w:t>
      </w:r>
    </w:p>
    <w:p w14:paraId="728A0EC4" w14:textId="77777777" w:rsidR="00194B48" w:rsidRPr="00760344" w:rsidRDefault="00194B48" w:rsidP="00194B48">
      <w:pPr>
        <w:pStyle w:val="Heading1"/>
        <w:rPr>
          <w:b/>
          <w:bCs/>
          <w:sz w:val="32"/>
          <w:szCs w:val="32"/>
        </w:rPr>
      </w:pPr>
      <w:r>
        <w:rPr>
          <w:b/>
          <w:bCs/>
          <w:sz w:val="32"/>
          <w:szCs w:val="32"/>
          <w:lang w:val="es"/>
        </w:rPr>
        <w:lastRenderedPageBreak/>
        <w:t>Conexión Comunitaria</w:t>
      </w:r>
    </w:p>
    <w:p w14:paraId="234D5E4C" w14:textId="77777777" w:rsidR="00FA4ABB" w:rsidRPr="00FA4ABB" w:rsidRDefault="00FA4ABB" w:rsidP="00FA4ABB">
      <w:pPr>
        <w:rPr>
          <w:b/>
          <w:bCs/>
        </w:rPr>
      </w:pPr>
      <w:r>
        <w:rPr>
          <w:b/>
          <w:bCs/>
          <w:lang w:val="es"/>
        </w:rPr>
        <w:t>Facebook, Instagram, Nextdoor</w:t>
      </w:r>
    </w:p>
    <w:p w14:paraId="7D89B751" w14:textId="1FC3AB2C" w:rsidR="00194B48" w:rsidRDefault="00194B48" w:rsidP="00194B48">
      <w:r>
        <w:rPr>
          <w:lang w:val="es"/>
        </w:rPr>
        <w:t xml:space="preserve">La preparación es más fuerte cuando trabajamos juntos. Un vecindario que comparte información, se cuida mutuamente y se mantiene conectado durante las emergencias es un lugar más seguro para todos. Aproveche esta oportunidad para conversar con sus vecinos, conocer los recursos comunitarios y fortalecer relaciones que puedan brindar apoyo cuando más se necesite. Para más información, visite </w:t>
      </w:r>
      <w:hyperlink r:id="rId19" w:history="1">
        <w:r>
          <w:rPr>
            <w:rStyle w:val="Hyperlink"/>
            <w:lang w:val="es"/>
          </w:rPr>
          <w:t>www.sjready.org.</w:t>
        </w:r>
      </w:hyperlink>
    </w:p>
    <w:p w14:paraId="014CB8AD" w14:textId="77557DCA" w:rsidR="0051138E" w:rsidRDefault="0051138E" w:rsidP="00194B48">
      <w:pPr>
        <w:rPr>
          <w:b/>
          <w:bCs/>
        </w:rPr>
      </w:pPr>
      <w:r>
        <w:rPr>
          <w:b/>
          <w:bCs/>
          <w:lang w:val="es"/>
        </w:rPr>
        <w:t>X</w:t>
      </w:r>
    </w:p>
    <w:p w14:paraId="1BA0F185" w14:textId="432DE809" w:rsidR="0051138E" w:rsidRDefault="0051138E" w:rsidP="0051138E">
      <w:r>
        <w:rPr>
          <w:lang w:val="es"/>
        </w:rPr>
        <w:t xml:space="preserve">La preparación es más fuerte cuando trabajamos juntos. Un vecindario que comparte información, se cuida mutuamente y se mantiene conectado durante las emergencias es un lugar más seguro para todos. Para más información, visite </w:t>
      </w:r>
      <w:hyperlink r:id="rId20" w:history="1">
        <w:r>
          <w:rPr>
            <w:rStyle w:val="Hyperlink"/>
            <w:lang w:val="es"/>
          </w:rPr>
          <w:t>www.sjready.org.</w:t>
        </w:r>
      </w:hyperlink>
    </w:p>
    <w:p w14:paraId="3AABA290" w14:textId="77777777" w:rsidR="006F0C38" w:rsidRDefault="006F0C38" w:rsidP="0051138E"/>
    <w:p w14:paraId="12315B9E" w14:textId="77777777" w:rsidR="006F0C38" w:rsidRPr="003A323C" w:rsidRDefault="006F0C38" w:rsidP="006F0C38">
      <w:pPr>
        <w:rPr>
          <w:b/>
          <w:bCs/>
        </w:rPr>
      </w:pPr>
      <w:r>
        <w:rPr>
          <w:b/>
          <w:bCs/>
          <w:lang w:val="es"/>
        </w:rPr>
        <w:t>Texto alternativo</w:t>
      </w:r>
    </w:p>
    <w:p w14:paraId="0A948409" w14:textId="4F14CFE1" w:rsidR="006F0C38" w:rsidRDefault="006F0C38" w:rsidP="006F0C38">
      <w:r>
        <w:rPr>
          <w:lang w:val="es"/>
        </w:rPr>
        <w:t xml:space="preserve">Fondo azul y naranja con una ilustración de miembros diversos de la comunidad caminando por su vecindario. </w:t>
      </w:r>
    </w:p>
    <w:p w14:paraId="36EBE15C" w14:textId="77777777" w:rsidR="006F0C38" w:rsidRDefault="006F0C38" w:rsidP="0051138E"/>
    <w:p w14:paraId="17C226D7" w14:textId="77777777" w:rsidR="00194B48" w:rsidRPr="00760344" w:rsidRDefault="00194B48" w:rsidP="00194B48">
      <w:pPr>
        <w:pStyle w:val="Heading1"/>
        <w:rPr>
          <w:b/>
          <w:bCs/>
          <w:sz w:val="32"/>
          <w:szCs w:val="32"/>
        </w:rPr>
      </w:pPr>
      <w:r>
        <w:rPr>
          <w:b/>
          <w:bCs/>
          <w:sz w:val="32"/>
          <w:szCs w:val="32"/>
          <w:lang w:val="es"/>
        </w:rPr>
        <w:t>Tranquilidad</w:t>
      </w:r>
    </w:p>
    <w:p w14:paraId="6A274C25" w14:textId="77777777" w:rsidR="00FA4ABB" w:rsidRPr="00FA4ABB" w:rsidRDefault="00FA4ABB" w:rsidP="00FA4ABB">
      <w:pPr>
        <w:rPr>
          <w:b/>
          <w:bCs/>
        </w:rPr>
      </w:pPr>
      <w:r>
        <w:rPr>
          <w:b/>
          <w:bCs/>
          <w:lang w:val="es"/>
        </w:rPr>
        <w:t>Facebook, Instagram, Nextdoor</w:t>
      </w:r>
    </w:p>
    <w:p w14:paraId="66DC3993" w14:textId="550B9260" w:rsidR="00194B48" w:rsidRDefault="00194B48" w:rsidP="00194B48">
      <w:r>
        <w:rPr>
          <w:lang w:val="es"/>
        </w:rPr>
        <w:t xml:space="preserve">La preparación no se trata de vivir con miedo. Se trata de crear tranquilidad. Saber que tiene un plan le brinda la capacidad de mantenerse calmado y enfocado cuando surgen desafíos. Ya sea reuniendo suministros, aprendiendo rutas de evacuación o inscribiéndose para recibir alertas de emergencia, cada acción que usted toma le da la seguridad de estar listo para lo que venga. Para más información, visite </w:t>
      </w:r>
      <w:hyperlink r:id="rId21" w:history="1">
        <w:r>
          <w:rPr>
            <w:rStyle w:val="Hyperlink"/>
            <w:lang w:val="es"/>
          </w:rPr>
          <w:t>www.sjready.org.</w:t>
        </w:r>
      </w:hyperlink>
    </w:p>
    <w:p w14:paraId="4560FB61" w14:textId="34989513" w:rsidR="00E87D38" w:rsidRPr="00E87D38" w:rsidRDefault="00E87D38" w:rsidP="00194B48">
      <w:pPr>
        <w:rPr>
          <w:b/>
          <w:bCs/>
        </w:rPr>
      </w:pPr>
      <w:r>
        <w:rPr>
          <w:b/>
          <w:bCs/>
          <w:lang w:val="es"/>
        </w:rPr>
        <w:t>X</w:t>
      </w:r>
    </w:p>
    <w:p w14:paraId="69B03E19" w14:textId="1DB345AB" w:rsidR="00E87D38" w:rsidRDefault="00E87D38" w:rsidP="00E87D38">
      <w:r>
        <w:rPr>
          <w:lang w:val="es"/>
        </w:rPr>
        <w:t xml:space="preserve">La preparación no se trata de vivir con miedo. Se trata de crear tranquilidad. Cada acción que usted toma es una confirmación de que está listo para lo que venga. Para más información, visite </w:t>
      </w:r>
      <w:hyperlink r:id="rId22" w:history="1">
        <w:r>
          <w:rPr>
            <w:rStyle w:val="Hyperlink"/>
            <w:lang w:val="es"/>
          </w:rPr>
          <w:t>www.sjready.org.</w:t>
        </w:r>
      </w:hyperlink>
    </w:p>
    <w:p w14:paraId="46A49FD0" w14:textId="77777777" w:rsidR="00194B48" w:rsidRDefault="00194B48" w:rsidP="00194B48"/>
    <w:p w14:paraId="4EA1BE1C" w14:textId="77777777" w:rsidR="006F0C38" w:rsidRPr="003A323C" w:rsidRDefault="006F0C38" w:rsidP="006F0C38">
      <w:pPr>
        <w:rPr>
          <w:b/>
          <w:bCs/>
        </w:rPr>
      </w:pPr>
      <w:r>
        <w:rPr>
          <w:b/>
          <w:bCs/>
          <w:lang w:val="es"/>
        </w:rPr>
        <w:t>Texto alternativo</w:t>
      </w:r>
    </w:p>
    <w:p w14:paraId="2E072485" w14:textId="42122C91" w:rsidR="006F0C38" w:rsidRDefault="006F0C38" w:rsidP="006F0C38">
      <w:r>
        <w:rPr>
          <w:lang w:val="es"/>
        </w:rPr>
        <w:t>Fondo azul y naranja con una ilustración de una mujer sentada en el suelo en posición de yoga.</w:t>
      </w:r>
    </w:p>
    <w:p w14:paraId="4C86135D" w14:textId="77777777" w:rsidR="006F0C38" w:rsidRDefault="006F0C38" w:rsidP="00194B48"/>
    <w:sectPr w:rsidR="006F0C38" w:rsidSect="0076034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48"/>
    <w:rsid w:val="0009276C"/>
    <w:rsid w:val="00111CFD"/>
    <w:rsid w:val="00194B48"/>
    <w:rsid w:val="00327A5E"/>
    <w:rsid w:val="003A323C"/>
    <w:rsid w:val="0051138E"/>
    <w:rsid w:val="006F0C38"/>
    <w:rsid w:val="00760344"/>
    <w:rsid w:val="007918F9"/>
    <w:rsid w:val="007B4169"/>
    <w:rsid w:val="00807C80"/>
    <w:rsid w:val="00A4722B"/>
    <w:rsid w:val="00B226B4"/>
    <w:rsid w:val="00D03EAF"/>
    <w:rsid w:val="00D45BF3"/>
    <w:rsid w:val="00E87D38"/>
    <w:rsid w:val="00EC49F9"/>
    <w:rsid w:val="00F173E6"/>
    <w:rsid w:val="00FA4ABB"/>
    <w:rsid w:val="00FE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607B"/>
  <w15:chartTrackingRefBased/>
  <w15:docId w15:val="{88D2F3CD-9F85-408D-95AE-08B847C4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EAF"/>
  </w:style>
  <w:style w:type="paragraph" w:styleId="Heading1">
    <w:name w:val="heading 1"/>
    <w:basedOn w:val="Normal"/>
    <w:next w:val="Normal"/>
    <w:link w:val="Heading1Char"/>
    <w:uiPriority w:val="9"/>
    <w:qFormat/>
    <w:rsid w:val="00D03EAF"/>
    <w:pPr>
      <w:keepNext/>
      <w:keepLines/>
      <w:pBdr>
        <w:bottom w:val="single" w:sz="4" w:space="1" w:color="D34817" w:themeColor="accent1"/>
      </w:pBdr>
      <w:spacing w:before="400" w:after="40" w:line="240" w:lineRule="auto"/>
      <w:outlineLvl w:val="0"/>
    </w:pPr>
    <w:rPr>
      <w:rFonts w:asciiTheme="majorHAnsi" w:eastAsiaTheme="majorEastAsia" w:hAnsiTheme="majorHAnsi" w:cstheme="majorBidi"/>
      <w:color w:val="9D3511" w:themeColor="accent1" w:themeShade="BF"/>
      <w:sz w:val="36"/>
      <w:szCs w:val="36"/>
    </w:rPr>
  </w:style>
  <w:style w:type="paragraph" w:styleId="Heading2">
    <w:name w:val="heading 2"/>
    <w:basedOn w:val="Normal"/>
    <w:next w:val="Normal"/>
    <w:link w:val="Heading2Char"/>
    <w:uiPriority w:val="9"/>
    <w:unhideWhenUsed/>
    <w:qFormat/>
    <w:rsid w:val="00D03EAF"/>
    <w:pPr>
      <w:keepNext/>
      <w:keepLines/>
      <w:spacing w:before="160" w:after="0" w:line="240" w:lineRule="auto"/>
      <w:outlineLvl w:val="1"/>
    </w:pPr>
    <w:rPr>
      <w:rFonts w:asciiTheme="majorHAnsi" w:eastAsiaTheme="majorEastAsia" w:hAnsiTheme="majorHAnsi" w:cstheme="majorBidi"/>
      <w:color w:val="9D3511" w:themeColor="accent1" w:themeShade="BF"/>
      <w:sz w:val="28"/>
      <w:szCs w:val="28"/>
    </w:rPr>
  </w:style>
  <w:style w:type="paragraph" w:styleId="Heading3">
    <w:name w:val="heading 3"/>
    <w:basedOn w:val="Normal"/>
    <w:next w:val="Normal"/>
    <w:link w:val="Heading3Char"/>
    <w:uiPriority w:val="9"/>
    <w:semiHidden/>
    <w:unhideWhenUsed/>
    <w:qFormat/>
    <w:rsid w:val="00D03EAF"/>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03EAF"/>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03EA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03EA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03EA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03EA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03EA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AF"/>
    <w:rPr>
      <w:rFonts w:asciiTheme="majorHAnsi" w:eastAsiaTheme="majorEastAsia" w:hAnsiTheme="majorHAnsi" w:cstheme="majorBidi"/>
      <w:color w:val="9D3511" w:themeColor="accent1" w:themeShade="BF"/>
      <w:sz w:val="36"/>
      <w:szCs w:val="36"/>
    </w:rPr>
  </w:style>
  <w:style w:type="character" w:customStyle="1" w:styleId="Heading2Char">
    <w:name w:val="Heading 2 Char"/>
    <w:basedOn w:val="DefaultParagraphFont"/>
    <w:link w:val="Heading2"/>
    <w:uiPriority w:val="9"/>
    <w:rsid w:val="00D03EAF"/>
    <w:rPr>
      <w:rFonts w:asciiTheme="majorHAnsi" w:eastAsiaTheme="majorEastAsia" w:hAnsiTheme="majorHAnsi" w:cstheme="majorBidi"/>
      <w:color w:val="9D3511" w:themeColor="accent1" w:themeShade="BF"/>
      <w:sz w:val="28"/>
      <w:szCs w:val="28"/>
    </w:rPr>
  </w:style>
  <w:style w:type="character" w:customStyle="1" w:styleId="Heading3Char">
    <w:name w:val="Heading 3 Char"/>
    <w:basedOn w:val="DefaultParagraphFont"/>
    <w:link w:val="Heading3"/>
    <w:uiPriority w:val="9"/>
    <w:semiHidden/>
    <w:rsid w:val="00D03EAF"/>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03EA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03EA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03EA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03EA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03EA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03EA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03EAF"/>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03EAF"/>
    <w:pPr>
      <w:spacing w:after="0" w:line="240" w:lineRule="auto"/>
      <w:contextualSpacing/>
    </w:pPr>
    <w:rPr>
      <w:rFonts w:asciiTheme="majorHAnsi" w:eastAsiaTheme="majorEastAsia" w:hAnsiTheme="majorHAnsi" w:cstheme="majorBidi"/>
      <w:color w:val="9D3511" w:themeColor="accent1" w:themeShade="BF"/>
      <w:spacing w:val="-7"/>
      <w:sz w:val="80"/>
      <w:szCs w:val="80"/>
    </w:rPr>
  </w:style>
  <w:style w:type="character" w:customStyle="1" w:styleId="TitleChar">
    <w:name w:val="Title Char"/>
    <w:basedOn w:val="DefaultParagraphFont"/>
    <w:link w:val="Title"/>
    <w:uiPriority w:val="10"/>
    <w:rsid w:val="00D03EAF"/>
    <w:rPr>
      <w:rFonts w:asciiTheme="majorHAnsi" w:eastAsiaTheme="majorEastAsia" w:hAnsiTheme="majorHAnsi" w:cstheme="majorBidi"/>
      <w:color w:val="9D3511" w:themeColor="accent1" w:themeShade="BF"/>
      <w:spacing w:val="-7"/>
      <w:sz w:val="80"/>
      <w:szCs w:val="80"/>
    </w:rPr>
  </w:style>
  <w:style w:type="paragraph" w:styleId="Subtitle">
    <w:name w:val="Subtitle"/>
    <w:basedOn w:val="Normal"/>
    <w:next w:val="Normal"/>
    <w:link w:val="SubtitleChar"/>
    <w:uiPriority w:val="11"/>
    <w:qFormat/>
    <w:rsid w:val="00D03EAF"/>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03EA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03EAF"/>
    <w:rPr>
      <w:b/>
      <w:bCs/>
    </w:rPr>
  </w:style>
  <w:style w:type="character" w:styleId="Emphasis">
    <w:name w:val="Emphasis"/>
    <w:basedOn w:val="DefaultParagraphFont"/>
    <w:uiPriority w:val="20"/>
    <w:qFormat/>
    <w:rsid w:val="00D03EAF"/>
    <w:rPr>
      <w:i/>
      <w:iCs/>
    </w:rPr>
  </w:style>
  <w:style w:type="paragraph" w:styleId="NoSpacing">
    <w:name w:val="No Spacing"/>
    <w:link w:val="NoSpacingChar"/>
    <w:uiPriority w:val="1"/>
    <w:qFormat/>
    <w:rsid w:val="00D03EAF"/>
    <w:pPr>
      <w:spacing w:after="0" w:line="240" w:lineRule="auto"/>
    </w:pPr>
  </w:style>
  <w:style w:type="character" w:customStyle="1" w:styleId="NoSpacingChar">
    <w:name w:val="No Spacing Char"/>
    <w:basedOn w:val="DefaultParagraphFont"/>
    <w:link w:val="NoSpacing"/>
    <w:uiPriority w:val="1"/>
    <w:rsid w:val="00D03EAF"/>
  </w:style>
  <w:style w:type="paragraph" w:styleId="Quote">
    <w:name w:val="Quote"/>
    <w:basedOn w:val="Normal"/>
    <w:next w:val="Normal"/>
    <w:link w:val="QuoteChar"/>
    <w:uiPriority w:val="29"/>
    <w:qFormat/>
    <w:rsid w:val="00D03EAF"/>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03EAF"/>
    <w:rPr>
      <w:i/>
      <w:iCs/>
    </w:rPr>
  </w:style>
  <w:style w:type="paragraph" w:styleId="IntenseQuote">
    <w:name w:val="Intense Quote"/>
    <w:basedOn w:val="Normal"/>
    <w:next w:val="Normal"/>
    <w:link w:val="IntenseQuoteChar"/>
    <w:uiPriority w:val="30"/>
    <w:qFormat/>
    <w:rsid w:val="00D03EAF"/>
    <w:pPr>
      <w:spacing w:before="100" w:beforeAutospacing="1" w:after="240"/>
      <w:ind w:left="864" w:right="864"/>
      <w:jc w:val="center"/>
    </w:pPr>
    <w:rPr>
      <w:rFonts w:asciiTheme="majorHAnsi" w:eastAsiaTheme="majorEastAsia" w:hAnsiTheme="majorHAnsi" w:cstheme="majorBidi"/>
      <w:color w:val="D34817" w:themeColor="accent1"/>
      <w:sz w:val="28"/>
      <w:szCs w:val="28"/>
    </w:rPr>
  </w:style>
  <w:style w:type="character" w:customStyle="1" w:styleId="IntenseQuoteChar">
    <w:name w:val="Intense Quote Char"/>
    <w:basedOn w:val="DefaultParagraphFont"/>
    <w:link w:val="IntenseQuote"/>
    <w:uiPriority w:val="30"/>
    <w:rsid w:val="00D03EAF"/>
    <w:rPr>
      <w:rFonts w:asciiTheme="majorHAnsi" w:eastAsiaTheme="majorEastAsia" w:hAnsiTheme="majorHAnsi" w:cstheme="majorBidi"/>
      <w:color w:val="D34817" w:themeColor="accent1"/>
      <w:sz w:val="28"/>
      <w:szCs w:val="28"/>
    </w:rPr>
  </w:style>
  <w:style w:type="character" w:styleId="SubtleEmphasis">
    <w:name w:val="Subtle Emphasis"/>
    <w:basedOn w:val="DefaultParagraphFont"/>
    <w:uiPriority w:val="19"/>
    <w:qFormat/>
    <w:rsid w:val="00D03EAF"/>
    <w:rPr>
      <w:i/>
      <w:iCs/>
      <w:color w:val="595959" w:themeColor="text1" w:themeTint="A6"/>
    </w:rPr>
  </w:style>
  <w:style w:type="character" w:styleId="IntenseEmphasis">
    <w:name w:val="Intense Emphasis"/>
    <w:basedOn w:val="DefaultParagraphFont"/>
    <w:uiPriority w:val="21"/>
    <w:qFormat/>
    <w:rsid w:val="00D03EAF"/>
    <w:rPr>
      <w:b/>
      <w:bCs/>
      <w:i/>
      <w:iCs/>
    </w:rPr>
  </w:style>
  <w:style w:type="character" w:styleId="SubtleReference">
    <w:name w:val="Subtle Reference"/>
    <w:basedOn w:val="DefaultParagraphFont"/>
    <w:uiPriority w:val="31"/>
    <w:qFormat/>
    <w:rsid w:val="00D03EAF"/>
    <w:rPr>
      <w:smallCaps/>
      <w:color w:val="404040" w:themeColor="text1" w:themeTint="BF"/>
    </w:rPr>
  </w:style>
  <w:style w:type="character" w:styleId="IntenseReference">
    <w:name w:val="Intense Reference"/>
    <w:basedOn w:val="DefaultParagraphFont"/>
    <w:uiPriority w:val="32"/>
    <w:qFormat/>
    <w:rsid w:val="00D03EAF"/>
    <w:rPr>
      <w:b/>
      <w:bCs/>
      <w:smallCaps/>
      <w:u w:val="single"/>
    </w:rPr>
  </w:style>
  <w:style w:type="character" w:styleId="BookTitle">
    <w:name w:val="Book Title"/>
    <w:basedOn w:val="DefaultParagraphFont"/>
    <w:uiPriority w:val="33"/>
    <w:qFormat/>
    <w:rsid w:val="00D03EAF"/>
    <w:rPr>
      <w:b/>
      <w:bCs/>
      <w:smallCaps/>
    </w:rPr>
  </w:style>
  <w:style w:type="paragraph" w:styleId="TOCHeading">
    <w:name w:val="TOC Heading"/>
    <w:basedOn w:val="Heading1"/>
    <w:next w:val="Normal"/>
    <w:uiPriority w:val="39"/>
    <w:unhideWhenUsed/>
    <w:qFormat/>
    <w:rsid w:val="00D03EAF"/>
    <w:pPr>
      <w:outlineLvl w:val="9"/>
    </w:pPr>
  </w:style>
  <w:style w:type="paragraph" w:styleId="ListParagraph">
    <w:name w:val="List Paragraph"/>
    <w:basedOn w:val="Normal"/>
    <w:uiPriority w:val="34"/>
    <w:qFormat/>
    <w:rsid w:val="00194B48"/>
    <w:pPr>
      <w:ind w:left="720"/>
      <w:contextualSpacing/>
    </w:pPr>
  </w:style>
  <w:style w:type="character" w:styleId="Hyperlink">
    <w:name w:val="Hyperlink"/>
    <w:basedOn w:val="DefaultParagraphFont"/>
    <w:uiPriority w:val="99"/>
    <w:unhideWhenUsed/>
    <w:rsid w:val="00EC49F9"/>
    <w:rPr>
      <w:color w:val="CC9900" w:themeColor="hyperlink"/>
      <w:u w:val="single"/>
    </w:rPr>
  </w:style>
  <w:style w:type="character" w:styleId="UnresolvedMention">
    <w:name w:val="Unresolved Mention"/>
    <w:basedOn w:val="DefaultParagraphFont"/>
    <w:uiPriority w:val="99"/>
    <w:semiHidden/>
    <w:unhideWhenUsed/>
    <w:rsid w:val="00EC4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18" Type="http://schemas.openxmlformats.org/officeDocument/2006/relationships/hyperlink" Target="http://www.sjready.org" TargetMode="External"/><Relationship Id="rId3" Type="http://schemas.openxmlformats.org/officeDocument/2006/relationships/webSettings" Target="webSettings.xml"/><Relationship Id="rId21" Type="http://schemas.openxmlformats.org/officeDocument/2006/relationships/hyperlink" Target="http://www.sjready.org" TargetMode="Externa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17" Type="http://schemas.openxmlformats.org/officeDocument/2006/relationships/hyperlink" Target="http://www.sjready.org" TargetMode="External"/><Relationship Id="rId2" Type="http://schemas.openxmlformats.org/officeDocument/2006/relationships/settings" Target="settings.xml"/><Relationship Id="rId16" Type="http://schemas.openxmlformats.org/officeDocument/2006/relationships/hyperlink" Target="http://www.sjready.org" TargetMode="External"/><Relationship Id="rId20" Type="http://schemas.openxmlformats.org/officeDocument/2006/relationships/hyperlink" Target="http://www.sjready.org" TargetMode="External"/><Relationship Id="rId1" Type="http://schemas.openxmlformats.org/officeDocument/2006/relationships/styles" Target="styles.xml"/><Relationship Id="rId6" Type="http://schemas.openxmlformats.org/officeDocument/2006/relationships/hyperlink" Target="Env&#237;euncorreoelectr&#243;nicoa:kxiong@sjgov.org" TargetMode="External"/><Relationship Id="rId11" Type="http://schemas.openxmlformats.org/officeDocument/2006/relationships/hyperlink" Target="http://www.sjready.org" TargetMode="External"/><Relationship Id="rId24" Type="http://schemas.openxmlformats.org/officeDocument/2006/relationships/theme" Target="theme/theme1.xml"/><Relationship Id="rId5" Type="http://schemas.openxmlformats.org/officeDocument/2006/relationships/hyperlink" Target="http://www.sjready.org" TargetMode="External"/><Relationship Id="rId15" Type="http://schemas.openxmlformats.org/officeDocument/2006/relationships/hyperlink" Target="http://www.sjready.org" TargetMode="External"/><Relationship Id="rId23" Type="http://schemas.openxmlformats.org/officeDocument/2006/relationships/fontTable" Target="fontTable.xml"/><Relationship Id="rId10" Type="http://schemas.openxmlformats.org/officeDocument/2006/relationships/hyperlink" Target="http://www.sjready.org" TargetMode="External"/><Relationship Id="rId19" Type="http://schemas.openxmlformats.org/officeDocument/2006/relationships/hyperlink" Target="http://www.sjready.org" TargetMode="External"/><Relationship Id="rId4" Type="http://schemas.openxmlformats.org/officeDocument/2006/relationships/hyperlink" Target="Env&#237;euncorreoelectr&#243;nicoa:kxiong@sjgov.org" TargetMode="External"/><Relationship Id="rId9" Type="http://schemas.openxmlformats.org/officeDocument/2006/relationships/hyperlink" Target="http://www.sjready.org" TargetMode="External"/><Relationship Id="rId14" Type="http://schemas.openxmlformats.org/officeDocument/2006/relationships/hyperlink" Target="http://www.sjready.org" TargetMode="External"/><Relationship Id="rId22"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5</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San Joaquin County</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digital toolkit</dc:title>
  <dc:subject>Mes de la Preparación Comunitaria 2025</dc:subject>
  <dc:creator>Xiong, Kia [OES]</dc:creator>
  <cp:keywords/>
  <dc:description/>
  <cp:lastModifiedBy>Yesenia Davilaquintanilla</cp:lastModifiedBy>
  <cp:revision>8</cp:revision>
  <dcterms:created xsi:type="dcterms:W3CDTF">2025-08-27T18:29:00Z</dcterms:created>
  <dcterms:modified xsi:type="dcterms:W3CDTF">2026-02-13T00:24:00Z</dcterms:modified>
</cp:coreProperties>
</file>