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32"/>
          <w:szCs w:val="32"/>
        </w:rPr>
        <w:id w:val="524674762"/>
        <w:docPartObj>
          <w:docPartGallery w:val="Cover Pages"/>
          <w:docPartUnique/>
        </w:docPartObj>
      </w:sdtPr>
      <w:sdtContent>
        <w:p w14:paraId="3E126F6E" w14:textId="7563C5A9" w:rsidR="004209A1" w:rsidRDefault="004209A1">
          <w:pPr>
            <w:rPr>
              <w:rFonts w:ascii="Calibri" w:hAnsi="Calibri" w:cs="Calibri"/>
              <w:b/>
              <w:bCs/>
              <w:sz w:val="32"/>
              <w:szCs w:val="32"/>
            </w:rPr>
          </w:pPr>
          <w:r>
            <w:rPr>
              <w:rFonts w:ascii="Calibri" w:hAnsi="Calibri" w:cs="Calibri"/>
              <w:b/>
              <w:bCs/>
              <w:noProof/>
              <w:sz w:val="32"/>
              <w:szCs w:val="32"/>
              <w:lang w:val="es"/>
            </w:rPr>
            <mc:AlternateContent>
              <mc:Choice Requires="wps">
                <w:drawing>
                  <wp:anchor distT="0" distB="0" distL="114300" distR="114300" simplePos="0" relativeHeight="251659264" behindDoc="0" locked="0" layoutInCell="1" allowOverlap="1" wp14:anchorId="75B9ECE4" wp14:editId="78C1EB13">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9B2D1F" w:themeColor="accent2"/>
                                  </w:tblBorders>
                                  <w:tblCellMar>
                                    <w:top w:w="1296" w:type="dxa"/>
                                    <w:left w:w="360" w:type="dxa"/>
                                    <w:bottom w:w="1296" w:type="dxa"/>
                                    <w:right w:w="360" w:type="dxa"/>
                                  </w:tblCellMar>
                                  <w:tblLook w:val="04A0" w:firstRow="1" w:lastRow="0" w:firstColumn="1" w:lastColumn="0" w:noHBand="0" w:noVBand="1"/>
                                </w:tblPr>
                                <w:tblGrid>
                                  <w:gridCol w:w="3575"/>
                                  <w:gridCol w:w="1906"/>
                                </w:tblGrid>
                                <w:tr w:rsidR="004209A1" w14:paraId="6C7BF5FC" w14:textId="77777777">
                                  <w:trPr>
                                    <w:jc w:val="center"/>
                                  </w:trPr>
                                  <w:tc>
                                    <w:tcPr>
                                      <w:tcW w:w="2568" w:type="pct"/>
                                      <w:vAlign w:val="center"/>
                                    </w:tcPr>
                                    <w:p w14:paraId="77B57F76" w14:textId="797669BC" w:rsidR="004209A1" w:rsidRDefault="004209A1">
                                      <w:pPr>
                                        <w:jc w:val="right"/>
                                      </w:pPr>
                                    </w:p>
                                    <w:sdt>
                                      <w:sdtPr>
                                        <w:rPr>
                                          <w:rFonts w:ascii="Calibri" w:hAnsi="Calibri" w:cs="Calibri"/>
                                          <w:b/>
                                          <w:bCs/>
                                          <w:caps/>
                                          <w:color w:val="9B2D1F"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8E7D419" w14:textId="75DF75D8" w:rsidR="004209A1" w:rsidRPr="00946B7C" w:rsidRDefault="00E7229C">
                                          <w:pPr>
                                            <w:pStyle w:val="NoSpacing"/>
                                            <w:spacing w:line="312" w:lineRule="auto"/>
                                            <w:jc w:val="right"/>
                                            <w:rPr>
                                              <w:rFonts w:ascii="Calibri" w:hAnsi="Calibri" w:cs="Calibri"/>
                                              <w:b/>
                                              <w:bCs/>
                                              <w:caps/>
                                              <w:color w:val="9B2D1F" w:themeColor="accent2"/>
                                              <w:sz w:val="72"/>
                                              <w:szCs w:val="72"/>
                                            </w:rPr>
                                          </w:pPr>
                                          <w:r w:rsidRPr="00E7229C">
                                            <w:rPr>
                                              <w:rFonts w:ascii="Calibri" w:hAnsi="Calibri" w:cs="Calibri"/>
                                              <w:b/>
                                              <w:bCs/>
                                              <w:caps/>
                                              <w:color w:val="9B2D1F" w:themeColor="accent2"/>
                                              <w:sz w:val="72"/>
                                              <w:szCs w:val="72"/>
                                            </w:rPr>
                                            <w:t>Kit digital de octubre</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40C06ADF" w14:textId="438DBE29" w:rsidR="004209A1" w:rsidRDefault="00E7229C">
                                          <w:pPr>
                                            <w:jc w:val="right"/>
                                          </w:pPr>
                                          <w:proofErr w:type="spellStart"/>
                                          <w:r w:rsidRPr="00E7229C">
                                            <w:rPr>
                                              <w:color w:val="000000" w:themeColor="text1"/>
                                            </w:rPr>
                                            <w:t>Esté</w:t>
                                          </w:r>
                                          <w:proofErr w:type="spellEnd"/>
                                          <w:r w:rsidRPr="00E7229C">
                                            <w:rPr>
                                              <w:color w:val="000000" w:themeColor="text1"/>
                                            </w:rPr>
                                            <w:t xml:space="preserve"> </w:t>
                                          </w:r>
                                          <w:proofErr w:type="spellStart"/>
                                          <w:r w:rsidRPr="00E7229C">
                                            <w:rPr>
                                              <w:color w:val="000000" w:themeColor="text1"/>
                                            </w:rPr>
                                            <w:t>preparado</w:t>
                                          </w:r>
                                          <w:proofErr w:type="spellEnd"/>
                                          <w:r w:rsidRPr="00E7229C">
                                            <w:rPr>
                                              <w:color w:val="000000" w:themeColor="text1"/>
                                            </w:rPr>
                                            <w:t xml:space="preserve"> para </w:t>
                                          </w:r>
                                          <w:proofErr w:type="spellStart"/>
                                          <w:r w:rsidRPr="00E7229C">
                                            <w:rPr>
                                              <w:color w:val="000000" w:themeColor="text1"/>
                                            </w:rPr>
                                            <w:t>temblores</w:t>
                                          </w:r>
                                          <w:proofErr w:type="spellEnd"/>
                                          <w:r w:rsidRPr="00E7229C">
                                            <w:rPr>
                                              <w:color w:val="000000" w:themeColor="text1"/>
                                            </w:rPr>
                                            <w:t xml:space="preserve"> de tierra e </w:t>
                                          </w:r>
                                          <w:proofErr w:type="spellStart"/>
                                          <w:r w:rsidRPr="00E7229C">
                                            <w:rPr>
                                              <w:color w:val="000000" w:themeColor="text1"/>
                                            </w:rPr>
                                            <w:t>inundaciones</w:t>
                                          </w:r>
                                          <w:proofErr w:type="spellEnd"/>
                                        </w:p>
                                      </w:sdtContent>
                                    </w:sdt>
                                  </w:tc>
                                  <w:tc>
                                    <w:tcPr>
                                      <w:tcW w:w="2432" w:type="pct"/>
                                      <w:vAlign w:val="center"/>
                                    </w:tcPr>
                                    <w:p w14:paraId="5141AF35" w14:textId="5330554F" w:rsidR="004209A1" w:rsidRDefault="004209A1">
                                      <w:pPr>
                                        <w:rPr>
                                          <w:color w:val="000000" w:themeColor="text1"/>
                                        </w:rPr>
                                      </w:pPr>
                                    </w:p>
                                    <w:sdt>
                                      <w:sdtPr>
                                        <w:rPr>
                                          <w:rFonts w:ascii="Calibri" w:hAnsi="Calibri" w:cs="Calibri"/>
                                          <w:b/>
                                          <w:bCs/>
                                          <w:color w:val="9B2D1F"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252E48C" w14:textId="60DAE942" w:rsidR="004209A1" w:rsidRPr="00B57DCE" w:rsidRDefault="00946B7C" w:rsidP="004209A1">
                                          <w:pPr>
                                            <w:pStyle w:val="NoSpacing"/>
                                            <w:rPr>
                                              <w:rFonts w:ascii="Calibri" w:hAnsi="Calibri" w:cs="Calibri"/>
                                              <w:b/>
                                              <w:bCs/>
                                              <w:color w:val="9B2D1F" w:themeColor="accent2"/>
                                              <w:sz w:val="28"/>
                                              <w:szCs w:val="28"/>
                                            </w:rPr>
                                          </w:pPr>
                                          <w:r>
                                            <w:rPr>
                                              <w:rFonts w:ascii="Calibri" w:hAnsi="Calibri" w:cs="Calibri"/>
                                              <w:b/>
                                              <w:bCs/>
                                              <w:color w:val="9B2D1F" w:themeColor="accent2"/>
                                              <w:sz w:val="28"/>
                                              <w:szCs w:val="28"/>
                                              <w:lang w:val="es"/>
                                            </w:rPr>
                                            <w:t>Kia Xiong</w:t>
                                          </w:r>
                                        </w:p>
                                      </w:sdtContent>
                                    </w:sdt>
                                    <w:p w14:paraId="2116B4FD" w14:textId="77777777" w:rsidR="004209A1" w:rsidRPr="00B57DCE" w:rsidRDefault="004209A1" w:rsidP="004209A1">
                                      <w:pPr>
                                        <w:pStyle w:val="NoSpacing"/>
                                        <w:rPr>
                                          <w:rFonts w:ascii="Calibri" w:hAnsi="Calibri" w:cs="Calibri"/>
                                          <w:color w:val="696464" w:themeColor="text2"/>
                                          <w:sz w:val="24"/>
                                          <w:szCs w:val="24"/>
                                        </w:rPr>
                                      </w:pPr>
                                      <w:r>
                                        <w:rPr>
                                          <w:rFonts w:ascii="Calibri" w:hAnsi="Calibri" w:cs="Calibri"/>
                                          <w:color w:val="696464" w:themeColor="text2"/>
                                          <w:sz w:val="24"/>
                                          <w:szCs w:val="24"/>
                                          <w:lang w:val="es"/>
                                        </w:rPr>
                                        <w:t>Oficial de Información Pública</w:t>
                                      </w:r>
                                    </w:p>
                                    <w:p w14:paraId="7F2A177C"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de Servicios de Emergencia</w:t>
                                      </w:r>
                                    </w:p>
                                    <w:p w14:paraId="0CD3FE7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Condado de San Joaquín</w:t>
                                      </w:r>
                                    </w:p>
                                    <w:p w14:paraId="3BD6C06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2101 E. Earhart Ave., Ste 300</w:t>
                                      </w:r>
                                    </w:p>
                                    <w:p w14:paraId="38A0E639"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Stockton, CA 95206</w:t>
                                      </w:r>
                                    </w:p>
                                    <w:p w14:paraId="0FACDD45"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(209) 953-6075</w:t>
                                      </w:r>
                                    </w:p>
                                    <w:p w14:paraId="648564E1" w14:textId="75B15B42" w:rsidR="004209A1" w:rsidRDefault="004209A1" w:rsidP="004209A1">
                                      <w:pPr>
                                        <w:pStyle w:val="NoSpacing"/>
                                      </w:pPr>
                                      <w:r>
                                        <w:rPr>
                                          <w:rFonts w:ascii="Calibri" w:hAnsi="Calibri" w:cs="Calibri"/>
                                          <w:sz w:val="24"/>
                                          <w:szCs w:val="24"/>
                                          <w:lang w:val="es"/>
                                        </w:rPr>
                                        <w:t>Celular: (209) 616-2057</w:t>
                                      </w:r>
                                    </w:p>
                                  </w:tc>
                                </w:tr>
                              </w:tbl>
                              <w:p w14:paraId="6A98B41D" w14:textId="77777777" w:rsidR="004209A1" w:rsidRDefault="004209A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75B9ECE4"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9B2D1F" w:themeColor="accent2"/>
                            </w:tblBorders>
                            <w:tblCellMar>
                              <w:top w:w="1296" w:type="dxa"/>
                              <w:left w:w="360" w:type="dxa"/>
                              <w:bottom w:w="1296" w:type="dxa"/>
                              <w:right w:w="360" w:type="dxa"/>
                            </w:tblCellMar>
                            <w:tblLook w:val="04A0" w:firstRow="1" w:lastRow="0" w:firstColumn="1" w:lastColumn="0" w:noHBand="0" w:noVBand="1"/>
                          </w:tblPr>
                          <w:tblGrid>
                            <w:gridCol w:w="3575"/>
                            <w:gridCol w:w="1906"/>
                          </w:tblGrid>
                          <w:tr w:rsidR="004209A1" w14:paraId="6C7BF5FC" w14:textId="77777777">
                            <w:trPr>
                              <w:jc w:val="center"/>
                            </w:trPr>
                            <w:tc>
                              <w:tcPr>
                                <w:tcW w:w="2568" w:type="pct"/>
                                <w:vAlign w:val="center"/>
                              </w:tcPr>
                              <w:p w14:paraId="77B57F76" w14:textId="797669BC" w:rsidR="004209A1" w:rsidRDefault="004209A1">
                                <w:pPr>
                                  <w:jc w:val="right"/>
                                </w:pPr>
                              </w:p>
                              <w:sdt>
                                <w:sdtPr>
                                  <w:rPr>
                                    <w:rFonts w:ascii="Calibri" w:hAnsi="Calibri" w:cs="Calibri"/>
                                    <w:b/>
                                    <w:bCs/>
                                    <w:caps/>
                                    <w:color w:val="9B2D1F"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8E7D419" w14:textId="75DF75D8" w:rsidR="004209A1" w:rsidRPr="00946B7C" w:rsidRDefault="00E7229C">
                                    <w:pPr>
                                      <w:pStyle w:val="NoSpacing"/>
                                      <w:spacing w:line="312" w:lineRule="auto"/>
                                      <w:jc w:val="right"/>
                                      <w:rPr>
                                        <w:rFonts w:ascii="Calibri" w:hAnsi="Calibri" w:cs="Calibri"/>
                                        <w:b/>
                                        <w:bCs/>
                                        <w:caps/>
                                        <w:color w:val="9B2D1F" w:themeColor="accent2"/>
                                        <w:sz w:val="72"/>
                                        <w:szCs w:val="72"/>
                                      </w:rPr>
                                    </w:pPr>
                                    <w:r w:rsidRPr="00E7229C">
                                      <w:rPr>
                                        <w:rFonts w:ascii="Calibri" w:hAnsi="Calibri" w:cs="Calibri"/>
                                        <w:b/>
                                        <w:bCs/>
                                        <w:caps/>
                                        <w:color w:val="9B2D1F" w:themeColor="accent2"/>
                                        <w:sz w:val="72"/>
                                        <w:szCs w:val="72"/>
                                      </w:rPr>
                                      <w:t>Kit digital de octubre</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40C06ADF" w14:textId="438DBE29" w:rsidR="004209A1" w:rsidRDefault="00E7229C">
                                    <w:pPr>
                                      <w:jc w:val="right"/>
                                    </w:pPr>
                                    <w:proofErr w:type="spellStart"/>
                                    <w:r w:rsidRPr="00E7229C">
                                      <w:rPr>
                                        <w:color w:val="000000" w:themeColor="text1"/>
                                      </w:rPr>
                                      <w:t>Esté</w:t>
                                    </w:r>
                                    <w:proofErr w:type="spellEnd"/>
                                    <w:r w:rsidRPr="00E7229C">
                                      <w:rPr>
                                        <w:color w:val="000000" w:themeColor="text1"/>
                                      </w:rPr>
                                      <w:t xml:space="preserve"> </w:t>
                                    </w:r>
                                    <w:proofErr w:type="spellStart"/>
                                    <w:r w:rsidRPr="00E7229C">
                                      <w:rPr>
                                        <w:color w:val="000000" w:themeColor="text1"/>
                                      </w:rPr>
                                      <w:t>preparado</w:t>
                                    </w:r>
                                    <w:proofErr w:type="spellEnd"/>
                                    <w:r w:rsidRPr="00E7229C">
                                      <w:rPr>
                                        <w:color w:val="000000" w:themeColor="text1"/>
                                      </w:rPr>
                                      <w:t xml:space="preserve"> para </w:t>
                                    </w:r>
                                    <w:proofErr w:type="spellStart"/>
                                    <w:r w:rsidRPr="00E7229C">
                                      <w:rPr>
                                        <w:color w:val="000000" w:themeColor="text1"/>
                                      </w:rPr>
                                      <w:t>temblores</w:t>
                                    </w:r>
                                    <w:proofErr w:type="spellEnd"/>
                                    <w:r w:rsidRPr="00E7229C">
                                      <w:rPr>
                                        <w:color w:val="000000" w:themeColor="text1"/>
                                      </w:rPr>
                                      <w:t xml:space="preserve"> de tierra e </w:t>
                                    </w:r>
                                    <w:proofErr w:type="spellStart"/>
                                    <w:r w:rsidRPr="00E7229C">
                                      <w:rPr>
                                        <w:color w:val="000000" w:themeColor="text1"/>
                                      </w:rPr>
                                      <w:t>inundaciones</w:t>
                                    </w:r>
                                    <w:proofErr w:type="spellEnd"/>
                                  </w:p>
                                </w:sdtContent>
                              </w:sdt>
                            </w:tc>
                            <w:tc>
                              <w:tcPr>
                                <w:tcW w:w="2432" w:type="pct"/>
                                <w:vAlign w:val="center"/>
                              </w:tcPr>
                              <w:p w14:paraId="5141AF35" w14:textId="5330554F" w:rsidR="004209A1" w:rsidRDefault="004209A1">
                                <w:pPr>
                                  <w:rPr>
                                    <w:color w:val="000000" w:themeColor="text1"/>
                                  </w:rPr>
                                </w:pPr>
                              </w:p>
                              <w:sdt>
                                <w:sdtPr>
                                  <w:rPr>
                                    <w:rFonts w:ascii="Calibri" w:hAnsi="Calibri" w:cs="Calibri"/>
                                    <w:b/>
                                    <w:bCs/>
                                    <w:color w:val="9B2D1F"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252E48C" w14:textId="60DAE942" w:rsidR="004209A1" w:rsidRPr="00B57DCE" w:rsidRDefault="00946B7C" w:rsidP="004209A1">
                                    <w:pPr>
                                      <w:pStyle w:val="NoSpacing"/>
                                      <w:rPr>
                                        <w:rFonts w:ascii="Calibri" w:hAnsi="Calibri" w:cs="Calibri"/>
                                        <w:b/>
                                        <w:bCs/>
                                        <w:color w:val="9B2D1F" w:themeColor="accent2"/>
                                        <w:sz w:val="28"/>
                                        <w:szCs w:val="28"/>
                                      </w:rPr>
                                    </w:pPr>
                                    <w:r>
                                      <w:rPr>
                                        <w:rFonts w:ascii="Calibri" w:hAnsi="Calibri" w:cs="Calibri"/>
                                        <w:b/>
                                        <w:bCs/>
                                        <w:color w:val="9B2D1F" w:themeColor="accent2"/>
                                        <w:sz w:val="28"/>
                                        <w:szCs w:val="28"/>
                                        <w:lang w:val="es"/>
                                      </w:rPr>
                                      <w:t>Kia Xiong</w:t>
                                    </w:r>
                                  </w:p>
                                </w:sdtContent>
                              </w:sdt>
                              <w:p w14:paraId="2116B4FD" w14:textId="77777777" w:rsidR="004209A1" w:rsidRPr="00B57DCE" w:rsidRDefault="004209A1" w:rsidP="004209A1">
                                <w:pPr>
                                  <w:pStyle w:val="NoSpacing"/>
                                  <w:rPr>
                                    <w:rFonts w:ascii="Calibri" w:hAnsi="Calibri" w:cs="Calibri"/>
                                    <w:color w:val="696464" w:themeColor="text2"/>
                                    <w:sz w:val="24"/>
                                    <w:szCs w:val="24"/>
                                  </w:rPr>
                                </w:pPr>
                                <w:r>
                                  <w:rPr>
                                    <w:rFonts w:ascii="Calibri" w:hAnsi="Calibri" w:cs="Calibri"/>
                                    <w:color w:val="696464" w:themeColor="text2"/>
                                    <w:sz w:val="24"/>
                                    <w:szCs w:val="24"/>
                                    <w:lang w:val="es"/>
                                  </w:rPr>
                                  <w:t>Oficial de Información Pública</w:t>
                                </w:r>
                              </w:p>
                              <w:p w14:paraId="7F2A177C"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de Servicios de Emergencia</w:t>
                                </w:r>
                              </w:p>
                              <w:p w14:paraId="0CD3FE7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Condado de San Joaquín</w:t>
                                </w:r>
                              </w:p>
                              <w:p w14:paraId="3BD6C06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2101 E. Earhart Ave., Ste 300</w:t>
                                </w:r>
                              </w:p>
                              <w:p w14:paraId="38A0E639"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Stockton, CA 95206</w:t>
                                </w:r>
                              </w:p>
                              <w:p w14:paraId="0FACDD45"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(209) 953-6075</w:t>
                                </w:r>
                              </w:p>
                              <w:p w14:paraId="648564E1" w14:textId="75B15B42" w:rsidR="004209A1" w:rsidRDefault="004209A1" w:rsidP="004209A1">
                                <w:pPr>
                                  <w:pStyle w:val="NoSpacing"/>
                                </w:pPr>
                                <w:r>
                                  <w:rPr>
                                    <w:rFonts w:ascii="Calibri" w:hAnsi="Calibri" w:cs="Calibri"/>
                                    <w:sz w:val="24"/>
                                    <w:szCs w:val="24"/>
                                    <w:lang w:val="es"/>
                                  </w:rPr>
                                  <w:t>Celular: (209) 616-2057</w:t>
                                </w:r>
                              </w:p>
                            </w:tc>
                          </w:tr>
                        </w:tbl>
                        <w:p w14:paraId="6A98B41D" w14:textId="77777777" w:rsidR="004209A1" w:rsidRDefault="004209A1"/>
                      </w:txbxContent>
                    </v:textbox>
                    <w10:wrap anchorx="page" anchory="page"/>
                  </v:shape>
                </w:pict>
              </mc:Fallback>
            </mc:AlternateContent>
          </w:r>
          <w:r>
            <w:rPr>
              <w:rFonts w:ascii="Calibri" w:hAnsi="Calibri" w:cs="Calibri"/>
              <w:b/>
              <w:bCs/>
              <w:sz w:val="32"/>
              <w:szCs w:val="32"/>
              <w:lang w:val="es"/>
            </w:rPr>
            <w:br w:type="page"/>
          </w:r>
        </w:p>
      </w:sdtContent>
    </w:sdt>
    <w:sdt>
      <w:sdtPr>
        <w:rPr>
          <w:rFonts w:asciiTheme="minorHAnsi" w:eastAsiaTheme="minorHAnsi" w:hAnsiTheme="minorHAnsi" w:cstheme="minorBidi"/>
          <w:b/>
          <w:bCs/>
          <w:color w:val="9B2D1F" w:themeColor="accent2"/>
          <w:kern w:val="2"/>
          <w:sz w:val="24"/>
          <w:szCs w:val="24"/>
          <w14:ligatures w14:val="standardContextual"/>
        </w:rPr>
        <w:id w:val="-1259205778"/>
        <w:docPartObj>
          <w:docPartGallery w:val="Table of Contents"/>
          <w:docPartUnique/>
        </w:docPartObj>
      </w:sdtPr>
      <w:sdtEndPr>
        <w:rPr>
          <w:rFonts w:eastAsiaTheme="minorEastAsia"/>
          <w:noProof/>
          <w:color w:val="auto"/>
          <w:kern w:val="0"/>
          <w:sz w:val="21"/>
          <w:szCs w:val="21"/>
          <w14:ligatures w14:val="none"/>
        </w:rPr>
      </w:sdtEndPr>
      <w:sdtContent>
        <w:p w14:paraId="75E2BC1E" w14:textId="7E8F4C93" w:rsidR="004209A1" w:rsidRPr="004209A1" w:rsidRDefault="004209A1" w:rsidP="004209A1">
          <w:pPr>
            <w:pStyle w:val="TOCHeading"/>
            <w:jc w:val="center"/>
            <w:rPr>
              <w:rFonts w:ascii="Calibri" w:hAnsi="Calibri" w:cs="Calibri"/>
              <w:b/>
              <w:bCs/>
              <w:color w:val="9B2D1F" w:themeColor="accent2"/>
            </w:rPr>
          </w:pPr>
          <w:r>
            <w:rPr>
              <w:rFonts w:ascii="Calibri" w:hAnsi="Calibri" w:cs="Calibri"/>
              <w:b/>
              <w:bCs/>
              <w:color w:val="9B2D1F" w:themeColor="accent2"/>
              <w:lang w:val="es"/>
            </w:rPr>
            <w:t>Contenido</w:t>
          </w:r>
        </w:p>
        <w:p w14:paraId="5B1EB33B" w14:textId="77777777" w:rsidR="004209A1" w:rsidRPr="004209A1" w:rsidRDefault="004209A1" w:rsidP="004209A1">
          <w:pPr>
            <w:rPr>
              <w:rFonts w:ascii="Calibri" w:hAnsi="Calibri" w:cs="Calibri"/>
            </w:rPr>
          </w:pPr>
        </w:p>
        <w:p w14:paraId="0CC5DE3F" w14:textId="4DA0E845" w:rsidR="00777B01" w:rsidRDefault="004209A1">
          <w:pPr>
            <w:pStyle w:val="TOC1"/>
            <w:tabs>
              <w:tab w:val="right" w:leader="dot" w:pos="9350"/>
            </w:tabs>
            <w:rPr>
              <w:noProof/>
              <w:kern w:val="2"/>
              <w:sz w:val="24"/>
              <w:szCs w:val="24"/>
              <w14:ligatures w14:val="standardContextual"/>
            </w:rPr>
          </w:pPr>
          <w:r>
            <w:rPr>
              <w:rFonts w:ascii="Calibri" w:hAnsi="Calibri" w:cs="Calibri"/>
              <w:lang w:val="es"/>
            </w:rPr>
            <w:fldChar w:fldCharType="begin"/>
          </w:r>
          <w:r>
            <w:rPr>
              <w:rFonts w:ascii="Calibri" w:hAnsi="Calibri" w:cs="Calibri"/>
            </w:rPr>
            <w:instrText xml:space="preserve"> TOC \o "1-3" \h \z \u </w:instrText>
          </w:r>
          <w:r>
            <w:rPr>
              <w:rFonts w:ascii="Calibri" w:hAnsi="Calibri" w:cs="Calibri"/>
            </w:rPr>
            <w:fldChar w:fldCharType="separate"/>
          </w:r>
          <w:hyperlink w:anchor="_Toc223961477" w:history="1">
            <w:r w:rsidR="00777B01" w:rsidRPr="00517506">
              <w:rPr>
                <w:rStyle w:val="Hyperlink"/>
                <w:noProof/>
                <w:lang w:val="es"/>
              </w:rPr>
              <w:t>Simulacro Great California ShakeOut</w:t>
            </w:r>
            <w:r w:rsidR="00777B01">
              <w:rPr>
                <w:noProof/>
                <w:webHidden/>
              </w:rPr>
              <w:tab/>
            </w:r>
            <w:r w:rsidR="00777B01">
              <w:rPr>
                <w:noProof/>
                <w:webHidden/>
              </w:rPr>
              <w:fldChar w:fldCharType="begin"/>
            </w:r>
            <w:r w:rsidR="00777B01">
              <w:rPr>
                <w:noProof/>
                <w:webHidden/>
              </w:rPr>
              <w:instrText xml:space="preserve"> PAGEREF _Toc223961477 \h </w:instrText>
            </w:r>
            <w:r w:rsidR="00777B01">
              <w:rPr>
                <w:noProof/>
                <w:webHidden/>
              </w:rPr>
            </w:r>
            <w:r w:rsidR="00777B01">
              <w:rPr>
                <w:noProof/>
                <w:webHidden/>
              </w:rPr>
              <w:fldChar w:fldCharType="separate"/>
            </w:r>
            <w:r w:rsidR="00777B01">
              <w:rPr>
                <w:noProof/>
                <w:webHidden/>
              </w:rPr>
              <w:t>2</w:t>
            </w:r>
            <w:r w:rsidR="00777B01">
              <w:rPr>
                <w:noProof/>
                <w:webHidden/>
              </w:rPr>
              <w:fldChar w:fldCharType="end"/>
            </w:r>
          </w:hyperlink>
        </w:p>
        <w:p w14:paraId="1DEBDA8D" w14:textId="38A5419D" w:rsidR="00777B01" w:rsidRDefault="00777B01">
          <w:pPr>
            <w:pStyle w:val="TOC1"/>
            <w:tabs>
              <w:tab w:val="right" w:leader="dot" w:pos="9350"/>
            </w:tabs>
            <w:rPr>
              <w:noProof/>
              <w:kern w:val="2"/>
              <w:sz w:val="24"/>
              <w:szCs w:val="24"/>
              <w14:ligatures w14:val="standardContextual"/>
            </w:rPr>
          </w:pPr>
          <w:hyperlink w:anchor="_Toc223961478" w:history="1">
            <w:r w:rsidRPr="00517506">
              <w:rPr>
                <w:rStyle w:val="Hyperlink"/>
                <w:noProof/>
                <w:lang w:val="es"/>
              </w:rPr>
              <w:t>Antes de que comience el movimiento</w:t>
            </w:r>
            <w:r>
              <w:rPr>
                <w:noProof/>
                <w:webHidden/>
              </w:rPr>
              <w:tab/>
            </w:r>
            <w:r>
              <w:rPr>
                <w:noProof/>
                <w:webHidden/>
              </w:rPr>
              <w:fldChar w:fldCharType="begin"/>
            </w:r>
            <w:r>
              <w:rPr>
                <w:noProof/>
                <w:webHidden/>
              </w:rPr>
              <w:instrText xml:space="preserve"> PAGEREF _Toc223961478 \h </w:instrText>
            </w:r>
            <w:r>
              <w:rPr>
                <w:noProof/>
                <w:webHidden/>
              </w:rPr>
            </w:r>
            <w:r>
              <w:rPr>
                <w:noProof/>
                <w:webHidden/>
              </w:rPr>
              <w:fldChar w:fldCharType="separate"/>
            </w:r>
            <w:r>
              <w:rPr>
                <w:noProof/>
                <w:webHidden/>
              </w:rPr>
              <w:t>2</w:t>
            </w:r>
            <w:r>
              <w:rPr>
                <w:noProof/>
                <w:webHidden/>
              </w:rPr>
              <w:fldChar w:fldCharType="end"/>
            </w:r>
          </w:hyperlink>
        </w:p>
        <w:p w14:paraId="7C2C0785" w14:textId="5374394F" w:rsidR="00777B01" w:rsidRDefault="00777B01">
          <w:pPr>
            <w:pStyle w:val="TOC1"/>
            <w:tabs>
              <w:tab w:val="right" w:leader="dot" w:pos="9350"/>
            </w:tabs>
            <w:rPr>
              <w:noProof/>
              <w:kern w:val="2"/>
              <w:sz w:val="24"/>
              <w:szCs w:val="24"/>
              <w14:ligatures w14:val="standardContextual"/>
            </w:rPr>
          </w:pPr>
          <w:hyperlink w:anchor="_Toc223961479" w:history="1">
            <w:r w:rsidRPr="00517506">
              <w:rPr>
                <w:rStyle w:val="Hyperlink"/>
                <w:noProof/>
                <w:lang w:val="es"/>
              </w:rPr>
              <w:t>Durante un temblor de tierra</w:t>
            </w:r>
            <w:r>
              <w:rPr>
                <w:noProof/>
                <w:webHidden/>
              </w:rPr>
              <w:tab/>
            </w:r>
            <w:r>
              <w:rPr>
                <w:noProof/>
                <w:webHidden/>
              </w:rPr>
              <w:fldChar w:fldCharType="begin"/>
            </w:r>
            <w:r>
              <w:rPr>
                <w:noProof/>
                <w:webHidden/>
              </w:rPr>
              <w:instrText xml:space="preserve"> PAGEREF _Toc223961479 \h </w:instrText>
            </w:r>
            <w:r>
              <w:rPr>
                <w:noProof/>
                <w:webHidden/>
              </w:rPr>
            </w:r>
            <w:r>
              <w:rPr>
                <w:noProof/>
                <w:webHidden/>
              </w:rPr>
              <w:fldChar w:fldCharType="separate"/>
            </w:r>
            <w:r>
              <w:rPr>
                <w:noProof/>
                <w:webHidden/>
              </w:rPr>
              <w:t>2</w:t>
            </w:r>
            <w:r>
              <w:rPr>
                <w:noProof/>
                <w:webHidden/>
              </w:rPr>
              <w:fldChar w:fldCharType="end"/>
            </w:r>
          </w:hyperlink>
        </w:p>
        <w:p w14:paraId="40297147" w14:textId="7BED8A01" w:rsidR="00777B01" w:rsidRDefault="00777B01">
          <w:pPr>
            <w:pStyle w:val="TOC1"/>
            <w:tabs>
              <w:tab w:val="right" w:leader="dot" w:pos="9350"/>
            </w:tabs>
            <w:rPr>
              <w:noProof/>
              <w:kern w:val="2"/>
              <w:sz w:val="24"/>
              <w:szCs w:val="24"/>
              <w14:ligatures w14:val="standardContextual"/>
            </w:rPr>
          </w:pPr>
          <w:hyperlink w:anchor="_Toc223961480" w:history="1">
            <w:r w:rsidRPr="00517506">
              <w:rPr>
                <w:rStyle w:val="Hyperlink"/>
                <w:noProof/>
                <w:lang w:val="es"/>
              </w:rPr>
              <w:t>Después de un temblor de tierra</w:t>
            </w:r>
            <w:r>
              <w:rPr>
                <w:noProof/>
                <w:webHidden/>
              </w:rPr>
              <w:tab/>
            </w:r>
            <w:r>
              <w:rPr>
                <w:noProof/>
                <w:webHidden/>
              </w:rPr>
              <w:fldChar w:fldCharType="begin"/>
            </w:r>
            <w:r>
              <w:rPr>
                <w:noProof/>
                <w:webHidden/>
              </w:rPr>
              <w:instrText xml:space="preserve"> PAGEREF _Toc223961480 \h </w:instrText>
            </w:r>
            <w:r>
              <w:rPr>
                <w:noProof/>
                <w:webHidden/>
              </w:rPr>
            </w:r>
            <w:r>
              <w:rPr>
                <w:noProof/>
                <w:webHidden/>
              </w:rPr>
              <w:fldChar w:fldCharType="separate"/>
            </w:r>
            <w:r>
              <w:rPr>
                <w:noProof/>
                <w:webHidden/>
              </w:rPr>
              <w:t>3</w:t>
            </w:r>
            <w:r>
              <w:rPr>
                <w:noProof/>
                <w:webHidden/>
              </w:rPr>
              <w:fldChar w:fldCharType="end"/>
            </w:r>
          </w:hyperlink>
        </w:p>
        <w:p w14:paraId="10EB834B" w14:textId="03920434" w:rsidR="00777B01" w:rsidRDefault="00777B01">
          <w:pPr>
            <w:pStyle w:val="TOC1"/>
            <w:tabs>
              <w:tab w:val="right" w:leader="dot" w:pos="9350"/>
            </w:tabs>
            <w:rPr>
              <w:noProof/>
              <w:kern w:val="2"/>
              <w:sz w:val="24"/>
              <w:szCs w:val="24"/>
              <w14:ligatures w14:val="standardContextual"/>
            </w:rPr>
          </w:pPr>
          <w:hyperlink w:anchor="_Toc223961481" w:history="1">
            <w:r w:rsidRPr="00517506">
              <w:rPr>
                <w:rStyle w:val="Hyperlink"/>
                <w:noProof/>
                <w:lang w:val="es"/>
              </w:rPr>
              <w:t>Semana de Preparación ante Inundaciones</w:t>
            </w:r>
            <w:r>
              <w:rPr>
                <w:noProof/>
                <w:webHidden/>
              </w:rPr>
              <w:tab/>
            </w:r>
            <w:r>
              <w:rPr>
                <w:noProof/>
                <w:webHidden/>
              </w:rPr>
              <w:fldChar w:fldCharType="begin"/>
            </w:r>
            <w:r>
              <w:rPr>
                <w:noProof/>
                <w:webHidden/>
              </w:rPr>
              <w:instrText xml:space="preserve"> PAGEREF _Toc223961481 \h </w:instrText>
            </w:r>
            <w:r>
              <w:rPr>
                <w:noProof/>
                <w:webHidden/>
              </w:rPr>
            </w:r>
            <w:r>
              <w:rPr>
                <w:noProof/>
                <w:webHidden/>
              </w:rPr>
              <w:fldChar w:fldCharType="separate"/>
            </w:r>
            <w:r>
              <w:rPr>
                <w:noProof/>
                <w:webHidden/>
              </w:rPr>
              <w:t>4</w:t>
            </w:r>
            <w:r>
              <w:rPr>
                <w:noProof/>
                <w:webHidden/>
              </w:rPr>
              <w:fldChar w:fldCharType="end"/>
            </w:r>
          </w:hyperlink>
        </w:p>
        <w:p w14:paraId="36188733" w14:textId="146F1F97" w:rsidR="00777B01" w:rsidRDefault="00777B01">
          <w:pPr>
            <w:pStyle w:val="TOC1"/>
            <w:tabs>
              <w:tab w:val="right" w:leader="dot" w:pos="9350"/>
            </w:tabs>
            <w:rPr>
              <w:noProof/>
              <w:kern w:val="2"/>
              <w:sz w:val="24"/>
              <w:szCs w:val="24"/>
              <w14:ligatures w14:val="standardContextual"/>
            </w:rPr>
          </w:pPr>
          <w:hyperlink w:anchor="_Toc223961482" w:history="1">
            <w:r w:rsidRPr="00517506">
              <w:rPr>
                <w:rStyle w:val="Hyperlink"/>
                <w:noProof/>
                <w:lang w:val="es"/>
              </w:rPr>
              <w:t>Dé la vuelta. No se Ahogue.</w:t>
            </w:r>
            <w:r>
              <w:rPr>
                <w:noProof/>
                <w:webHidden/>
              </w:rPr>
              <w:tab/>
            </w:r>
            <w:r>
              <w:rPr>
                <w:noProof/>
                <w:webHidden/>
              </w:rPr>
              <w:fldChar w:fldCharType="begin"/>
            </w:r>
            <w:r>
              <w:rPr>
                <w:noProof/>
                <w:webHidden/>
              </w:rPr>
              <w:instrText xml:space="preserve"> PAGEREF _Toc223961482 \h </w:instrText>
            </w:r>
            <w:r>
              <w:rPr>
                <w:noProof/>
                <w:webHidden/>
              </w:rPr>
            </w:r>
            <w:r>
              <w:rPr>
                <w:noProof/>
                <w:webHidden/>
              </w:rPr>
              <w:fldChar w:fldCharType="separate"/>
            </w:r>
            <w:r>
              <w:rPr>
                <w:noProof/>
                <w:webHidden/>
              </w:rPr>
              <w:t>4</w:t>
            </w:r>
            <w:r>
              <w:rPr>
                <w:noProof/>
                <w:webHidden/>
              </w:rPr>
              <w:fldChar w:fldCharType="end"/>
            </w:r>
          </w:hyperlink>
        </w:p>
        <w:p w14:paraId="660776C8" w14:textId="6AA09406" w:rsidR="00777B01" w:rsidRDefault="00777B01">
          <w:pPr>
            <w:pStyle w:val="TOC1"/>
            <w:tabs>
              <w:tab w:val="right" w:leader="dot" w:pos="9350"/>
            </w:tabs>
            <w:rPr>
              <w:noProof/>
              <w:kern w:val="2"/>
              <w:sz w:val="24"/>
              <w:szCs w:val="24"/>
              <w14:ligatures w14:val="standardContextual"/>
            </w:rPr>
          </w:pPr>
          <w:hyperlink w:anchor="_Toc223961483" w:history="1">
            <w:r w:rsidRPr="00517506">
              <w:rPr>
                <w:rStyle w:val="Hyperlink"/>
                <w:noProof/>
                <w:lang w:val="es"/>
              </w:rPr>
              <w:t>Tome fotos de su hogar</w:t>
            </w:r>
            <w:r>
              <w:rPr>
                <w:noProof/>
                <w:webHidden/>
              </w:rPr>
              <w:tab/>
            </w:r>
            <w:r>
              <w:rPr>
                <w:noProof/>
                <w:webHidden/>
              </w:rPr>
              <w:fldChar w:fldCharType="begin"/>
            </w:r>
            <w:r>
              <w:rPr>
                <w:noProof/>
                <w:webHidden/>
              </w:rPr>
              <w:instrText xml:space="preserve"> PAGEREF _Toc223961483 \h </w:instrText>
            </w:r>
            <w:r>
              <w:rPr>
                <w:noProof/>
                <w:webHidden/>
              </w:rPr>
            </w:r>
            <w:r>
              <w:rPr>
                <w:noProof/>
                <w:webHidden/>
              </w:rPr>
              <w:fldChar w:fldCharType="separate"/>
            </w:r>
            <w:r>
              <w:rPr>
                <w:noProof/>
                <w:webHidden/>
              </w:rPr>
              <w:t>4</w:t>
            </w:r>
            <w:r>
              <w:rPr>
                <w:noProof/>
                <w:webHidden/>
              </w:rPr>
              <w:fldChar w:fldCharType="end"/>
            </w:r>
          </w:hyperlink>
        </w:p>
        <w:p w14:paraId="4764CCE5" w14:textId="2EDB37D6" w:rsidR="00777B01" w:rsidRDefault="00777B01">
          <w:pPr>
            <w:pStyle w:val="TOC1"/>
            <w:tabs>
              <w:tab w:val="right" w:leader="dot" w:pos="9350"/>
            </w:tabs>
            <w:rPr>
              <w:noProof/>
              <w:kern w:val="2"/>
              <w:sz w:val="24"/>
              <w:szCs w:val="24"/>
              <w14:ligatures w14:val="standardContextual"/>
            </w:rPr>
          </w:pPr>
          <w:hyperlink w:anchor="_Toc223961484" w:history="1">
            <w:r w:rsidRPr="00517506">
              <w:rPr>
                <w:rStyle w:val="Hyperlink"/>
                <w:noProof/>
                <w:lang w:val="es"/>
              </w:rPr>
              <w:t>Órdenes de evacuación vs. avisos de evacuación</w:t>
            </w:r>
            <w:r>
              <w:rPr>
                <w:noProof/>
                <w:webHidden/>
              </w:rPr>
              <w:tab/>
            </w:r>
            <w:r>
              <w:rPr>
                <w:noProof/>
                <w:webHidden/>
              </w:rPr>
              <w:fldChar w:fldCharType="begin"/>
            </w:r>
            <w:r>
              <w:rPr>
                <w:noProof/>
                <w:webHidden/>
              </w:rPr>
              <w:instrText xml:space="preserve"> PAGEREF _Toc223961484 \h </w:instrText>
            </w:r>
            <w:r>
              <w:rPr>
                <w:noProof/>
                <w:webHidden/>
              </w:rPr>
            </w:r>
            <w:r>
              <w:rPr>
                <w:noProof/>
                <w:webHidden/>
              </w:rPr>
              <w:fldChar w:fldCharType="separate"/>
            </w:r>
            <w:r>
              <w:rPr>
                <w:noProof/>
                <w:webHidden/>
              </w:rPr>
              <w:t>5</w:t>
            </w:r>
            <w:r>
              <w:rPr>
                <w:noProof/>
                <w:webHidden/>
              </w:rPr>
              <w:fldChar w:fldCharType="end"/>
            </w:r>
          </w:hyperlink>
        </w:p>
        <w:p w14:paraId="1657CF4D" w14:textId="011538CC" w:rsidR="004209A1" w:rsidRDefault="004209A1">
          <w:r>
            <w:rPr>
              <w:rFonts w:ascii="Calibri" w:hAnsi="Calibri" w:cs="Calibri"/>
              <w:b/>
              <w:bCs/>
              <w:noProof/>
            </w:rPr>
            <w:fldChar w:fldCharType="end"/>
          </w:r>
        </w:p>
      </w:sdtContent>
    </w:sdt>
    <w:p w14:paraId="08ADE8C4" w14:textId="12C76B3E" w:rsidR="004209A1" w:rsidRDefault="004209A1">
      <w:pPr>
        <w:rPr>
          <w:rFonts w:ascii="Calibri" w:hAnsi="Calibri" w:cs="Calibri"/>
          <w:b/>
          <w:bCs/>
          <w:sz w:val="32"/>
          <w:szCs w:val="32"/>
        </w:rPr>
      </w:pPr>
      <w:r>
        <w:rPr>
          <w:rFonts w:ascii="Calibri" w:hAnsi="Calibri" w:cs="Calibri"/>
          <w:b/>
          <w:bCs/>
          <w:sz w:val="32"/>
          <w:szCs w:val="32"/>
          <w:lang w:val="es"/>
        </w:rPr>
        <w:br w:type="page"/>
      </w:r>
    </w:p>
    <w:p w14:paraId="60C6CD82" w14:textId="0095E600" w:rsidR="00F66A3D" w:rsidRPr="003D37E5" w:rsidRDefault="00C91B34" w:rsidP="003D37E5">
      <w:pPr>
        <w:pStyle w:val="Title"/>
        <w:jc w:val="center"/>
        <w:rPr>
          <w:sz w:val="44"/>
          <w:szCs w:val="44"/>
        </w:rPr>
      </w:pPr>
      <w:r>
        <w:rPr>
          <w:sz w:val="44"/>
          <w:szCs w:val="44"/>
          <w:lang w:val="es"/>
        </w:rPr>
        <w:lastRenderedPageBreak/>
        <w:t>Preparación para temblores de tierra</w:t>
      </w:r>
    </w:p>
    <w:p w14:paraId="1965BFA8" w14:textId="6D8C09EF" w:rsidR="00CB5677" w:rsidRDefault="00CB5677" w:rsidP="003D37E5">
      <w:pPr>
        <w:pStyle w:val="Heading1"/>
      </w:pPr>
      <w:bookmarkStart w:id="0" w:name="_Toc223961477"/>
      <w:r>
        <w:rPr>
          <w:lang w:val="es"/>
        </w:rPr>
        <w:t>Simulacro Great California ShakeOut</w:t>
      </w:r>
      <w:bookmarkEnd w:id="0"/>
    </w:p>
    <w:p w14:paraId="2ACE7872" w14:textId="77777777" w:rsidR="00CB5677" w:rsidRPr="003D37E5" w:rsidRDefault="00CB5677" w:rsidP="00CB5677">
      <w:pPr>
        <w:rPr>
          <w:b/>
          <w:bCs/>
        </w:rPr>
      </w:pPr>
      <w:r>
        <w:rPr>
          <w:b/>
          <w:bCs/>
          <w:lang w:val="es"/>
        </w:rPr>
        <w:t>Facebook, Instagram, Nextdoor</w:t>
      </w:r>
    </w:p>
    <w:p w14:paraId="788F2102" w14:textId="306615A7" w:rsidR="00CB5677" w:rsidRDefault="00CB5677" w:rsidP="00CB5677">
      <w:r>
        <w:rPr>
          <w:lang w:val="es"/>
        </w:rPr>
        <w:t xml:space="preserve">¿Está listo para el ShakeOut? Únase a nosotros para el simulacro de temblor de tierra Great California ShakeOut. Ya sea que esté en casa, en la escuela, en el trabajo, viajando o al aire libre, practique agáchese, cúbrase y sujétese. Anime a su familia, amigos y vecinos a practicar también la seguridad ante temblores de tierra. Un minuto de preparación hoy puede salvar vidas mañana. Obtenga más información en </w:t>
      </w:r>
      <w:hyperlink r:id="rId6" w:history="1">
        <w:r>
          <w:rPr>
            <w:rStyle w:val="Hyperlink"/>
            <w:lang w:val="es"/>
          </w:rPr>
          <w:t>www.sjready.org</w:t>
        </w:r>
      </w:hyperlink>
      <w:r>
        <w:rPr>
          <w:lang w:val="es"/>
        </w:rPr>
        <w:t xml:space="preserve">. </w:t>
      </w:r>
    </w:p>
    <w:p w14:paraId="58985D66" w14:textId="77777777" w:rsidR="00CB5677" w:rsidRPr="003D37E5" w:rsidRDefault="00CB5677" w:rsidP="00CB5677">
      <w:pPr>
        <w:rPr>
          <w:b/>
          <w:bCs/>
        </w:rPr>
      </w:pPr>
      <w:r>
        <w:rPr>
          <w:b/>
          <w:bCs/>
          <w:lang w:val="es"/>
        </w:rPr>
        <w:t>X</w:t>
      </w:r>
    </w:p>
    <w:p w14:paraId="141EBAF0" w14:textId="64112B6D" w:rsidR="00CB5677" w:rsidRDefault="00CB5677" w:rsidP="00CB5677">
      <w:r>
        <w:rPr>
          <w:lang w:val="es"/>
        </w:rPr>
        <w:t xml:space="preserve">Únase a nosotros para el Great California ShakeOut. Agáchese, cúbrase y sujétese dondequiera que esté. Anime a otras personas a practicar la seguridad ante temblores de tierra. Obtenga más información: </w:t>
      </w:r>
      <w:hyperlink r:id="rId7" w:history="1">
        <w:r>
          <w:rPr>
            <w:rStyle w:val="Hyperlink"/>
            <w:lang w:val="es"/>
          </w:rPr>
          <w:t>www.sjready.org</w:t>
        </w:r>
      </w:hyperlink>
      <w:r>
        <w:rPr>
          <w:lang w:val="es"/>
        </w:rPr>
        <w:t xml:space="preserve"> . </w:t>
      </w:r>
    </w:p>
    <w:p w14:paraId="7A450C1A" w14:textId="77777777" w:rsidR="00CB5677" w:rsidRPr="003D37E5" w:rsidRDefault="00CB5677" w:rsidP="00CB5677">
      <w:pPr>
        <w:rPr>
          <w:b/>
          <w:bCs/>
        </w:rPr>
      </w:pPr>
      <w:r>
        <w:rPr>
          <w:b/>
          <w:bCs/>
          <w:lang w:val="es"/>
        </w:rPr>
        <w:t>Texto alternativo</w:t>
      </w:r>
    </w:p>
    <w:p w14:paraId="45EE41CC" w14:textId="77777777" w:rsidR="00CB5677" w:rsidRDefault="00CB5677" w:rsidP="00CB5677">
      <w:r>
        <w:rPr>
          <w:lang w:val="es"/>
        </w:rPr>
        <w:t>Fondo con degradado azul y naranja con grietas negras en una pared.</w:t>
      </w:r>
    </w:p>
    <w:p w14:paraId="605F0ECB" w14:textId="77777777" w:rsidR="00CB5677" w:rsidRDefault="00CB5677" w:rsidP="00CB5677"/>
    <w:p w14:paraId="39C759DD" w14:textId="77777777" w:rsidR="00CB5677" w:rsidRDefault="00CB5677" w:rsidP="003D37E5">
      <w:pPr>
        <w:pStyle w:val="Heading1"/>
      </w:pPr>
      <w:bookmarkStart w:id="1" w:name="_Toc223961478"/>
      <w:r>
        <w:rPr>
          <w:lang w:val="es"/>
        </w:rPr>
        <w:t>Antes de que comience el movimiento</w:t>
      </w:r>
      <w:bookmarkEnd w:id="1"/>
    </w:p>
    <w:p w14:paraId="3C8FB02A" w14:textId="77777777" w:rsidR="00CB5677" w:rsidRPr="003D37E5" w:rsidRDefault="00CB5677" w:rsidP="00CB5677">
      <w:pPr>
        <w:rPr>
          <w:b/>
          <w:bCs/>
        </w:rPr>
      </w:pPr>
      <w:r>
        <w:rPr>
          <w:b/>
          <w:bCs/>
          <w:lang w:val="es"/>
        </w:rPr>
        <w:t>Facebook, Instagram, Nextdoor</w:t>
      </w:r>
    </w:p>
    <w:p w14:paraId="373C14AC" w14:textId="360AC1A7" w:rsidR="00CB5677" w:rsidRDefault="00CB5677" w:rsidP="00CB5677">
      <w:r>
        <w:rPr>
          <w:lang w:val="es"/>
        </w:rPr>
        <w:t xml:space="preserve">Los temblores de tierra ocurren sin aviso. Preparar su hogar ahora puede prevenir lesiones y daños. Mueva los objetos pesados de los estantes altos al piso, asegure objetos pequeños con masilla para museo, cierre los gabinetes con seguro y asegure los muebles grandes a las paredes. Estos pequeños pasos pueden marcar una gran diferencia cuando el suelo se sacude. Para más consejos de seguridad sobre temblores de tierra, visite </w:t>
      </w:r>
      <w:hyperlink r:id="rId8" w:history="1">
        <w:r>
          <w:rPr>
            <w:rStyle w:val="Hyperlink"/>
            <w:lang w:val="es"/>
          </w:rPr>
          <w:t>www.sjready.org</w:t>
        </w:r>
      </w:hyperlink>
      <w:r>
        <w:rPr>
          <w:lang w:val="es"/>
        </w:rPr>
        <w:t xml:space="preserve">. </w:t>
      </w:r>
    </w:p>
    <w:p w14:paraId="58C59657" w14:textId="77777777" w:rsidR="00CB5677" w:rsidRPr="003D37E5" w:rsidRDefault="00CB5677" w:rsidP="00CB5677">
      <w:pPr>
        <w:rPr>
          <w:b/>
          <w:bCs/>
        </w:rPr>
      </w:pPr>
      <w:r>
        <w:rPr>
          <w:b/>
          <w:bCs/>
          <w:lang w:val="es"/>
        </w:rPr>
        <w:t>X</w:t>
      </w:r>
    </w:p>
    <w:p w14:paraId="4A7F4869" w14:textId="717E5628" w:rsidR="00CB5677" w:rsidRDefault="00CB5677" w:rsidP="00CB5677">
      <w:r>
        <w:rPr>
          <w:lang w:val="es"/>
        </w:rPr>
        <w:t>Consejo rápido: Mueva los objetos pesados de los estantes altos a superficies más bajas para prevenir lesiones durante un temblor de tierra. Para más consejos de preparación, visite</w:t>
      </w:r>
      <w:hyperlink r:id="rId9" w:history="1">
        <w:r>
          <w:rPr>
            <w:rStyle w:val="Hyperlink"/>
            <w:u w:val="none"/>
            <w:lang w:val="es"/>
          </w:rPr>
          <w:t xml:space="preserve"> www.sjready.org</w:t>
        </w:r>
      </w:hyperlink>
      <w:r>
        <w:rPr>
          <w:lang w:val="es"/>
        </w:rPr>
        <w:t xml:space="preserve">. </w:t>
      </w:r>
    </w:p>
    <w:p w14:paraId="60CA3E38" w14:textId="77777777" w:rsidR="00CB5677" w:rsidRPr="003D37E5" w:rsidRDefault="00CB5677" w:rsidP="00CB5677">
      <w:pPr>
        <w:rPr>
          <w:b/>
          <w:bCs/>
        </w:rPr>
      </w:pPr>
      <w:r>
        <w:rPr>
          <w:b/>
          <w:bCs/>
          <w:lang w:val="es"/>
        </w:rPr>
        <w:t>Texto alternativo</w:t>
      </w:r>
    </w:p>
    <w:p w14:paraId="49C1C3BC" w14:textId="77777777" w:rsidR="00CB5677" w:rsidRDefault="00CB5677" w:rsidP="00CB5677">
      <w:r>
        <w:rPr>
          <w:lang w:val="es"/>
        </w:rPr>
        <w:t>Fondo con degradado azul y naranja con grietas negras en una pared de una sala, mostrando una estantería, un sofá amarillo, plantas en el piso y en los estantes, y una lámpara de pie negra.</w:t>
      </w:r>
    </w:p>
    <w:p w14:paraId="0138CD70" w14:textId="77777777" w:rsidR="00CB5677" w:rsidRDefault="00CB5677" w:rsidP="003D37E5">
      <w:pPr>
        <w:pStyle w:val="Heading1"/>
      </w:pPr>
      <w:bookmarkStart w:id="2" w:name="_Toc223961479"/>
      <w:r>
        <w:rPr>
          <w:lang w:val="es"/>
        </w:rPr>
        <w:t>Durante un temblor de tierra</w:t>
      </w:r>
      <w:bookmarkEnd w:id="2"/>
    </w:p>
    <w:p w14:paraId="2B0F55DC" w14:textId="77777777" w:rsidR="00CB5677" w:rsidRPr="003D37E5" w:rsidRDefault="00CB5677" w:rsidP="00CB5677">
      <w:pPr>
        <w:rPr>
          <w:b/>
          <w:bCs/>
        </w:rPr>
      </w:pPr>
      <w:r>
        <w:rPr>
          <w:b/>
          <w:bCs/>
          <w:lang w:val="es"/>
        </w:rPr>
        <w:t>Facebook, Instagram, Nextdoor</w:t>
      </w:r>
    </w:p>
    <w:p w14:paraId="4ED16BDD" w14:textId="63AAD612" w:rsidR="00CB5677" w:rsidRDefault="00CB5677" w:rsidP="00CB5677">
      <w:r>
        <w:rPr>
          <w:lang w:val="es"/>
        </w:rPr>
        <w:t xml:space="preserve">No es cuestión de si ocurrirá, sino de cuándo. Los temblores de tierra ocurren sin aviso. Agáchese al suelo o asegure su silla de ruedas, cúbrase si es posible y proteja su cabeza y cuello. Sujétese hasta </w:t>
      </w:r>
      <w:r>
        <w:rPr>
          <w:lang w:val="es"/>
        </w:rPr>
        <w:lastRenderedPageBreak/>
        <w:t xml:space="preserve">que deje de temblar. Las réplicas pueden ocurrir en oleadas, así que esté preparado para agacharse, cubrirse y sujetarse nuevamente. Obtenga más información en </w:t>
      </w:r>
      <w:hyperlink r:id="rId10" w:history="1">
        <w:r>
          <w:rPr>
            <w:rStyle w:val="Hyperlink"/>
            <w:lang w:val="es"/>
          </w:rPr>
          <w:t>www.sjready.org</w:t>
        </w:r>
      </w:hyperlink>
      <w:r>
        <w:rPr>
          <w:lang w:val="es"/>
        </w:rPr>
        <w:t xml:space="preserve">. </w:t>
      </w:r>
    </w:p>
    <w:p w14:paraId="5323D5C6" w14:textId="77777777" w:rsidR="00CB5677" w:rsidRDefault="00CB5677" w:rsidP="00CB5677"/>
    <w:p w14:paraId="547F7C4F" w14:textId="77777777" w:rsidR="003D37E5" w:rsidRDefault="00CB5677" w:rsidP="00CB5677">
      <w:pPr>
        <w:rPr>
          <w:b/>
          <w:bCs/>
        </w:rPr>
      </w:pPr>
      <w:r>
        <w:rPr>
          <w:b/>
          <w:bCs/>
          <w:lang w:val="es"/>
        </w:rPr>
        <w:t>X</w:t>
      </w:r>
    </w:p>
    <w:p w14:paraId="09F3CB94" w14:textId="3D7E3FE6" w:rsidR="00CB5677" w:rsidRDefault="00CB5677" w:rsidP="00CB5677">
      <w:r>
        <w:rPr>
          <w:lang w:val="es"/>
        </w:rPr>
        <w:t xml:space="preserve">Los temblores de tierra ocurren sin aviso. ¡AGÁCHESE, CÚBRASE y SUJÉTESE! Las réplicas ocurren en oleadas, esté preparado para hacerlo nuevamente. Más información: </w:t>
      </w:r>
      <w:hyperlink r:id="rId11" w:history="1">
        <w:r>
          <w:rPr>
            <w:rStyle w:val="Hyperlink"/>
            <w:lang w:val="es"/>
          </w:rPr>
          <w:t>www.sjready.org</w:t>
        </w:r>
      </w:hyperlink>
      <w:r>
        <w:rPr>
          <w:lang w:val="es"/>
        </w:rPr>
        <w:t xml:space="preserve"> . </w:t>
      </w:r>
    </w:p>
    <w:p w14:paraId="681AA90E" w14:textId="77777777" w:rsidR="00CB5677" w:rsidRPr="003D37E5" w:rsidRDefault="00CB5677" w:rsidP="00CB5677">
      <w:pPr>
        <w:rPr>
          <w:b/>
          <w:bCs/>
        </w:rPr>
      </w:pPr>
      <w:r>
        <w:rPr>
          <w:b/>
          <w:bCs/>
          <w:lang w:val="es"/>
        </w:rPr>
        <w:t>Texto alternativo</w:t>
      </w:r>
    </w:p>
    <w:p w14:paraId="61D45B5F" w14:textId="77777777" w:rsidR="00CB5677" w:rsidRDefault="00CB5677" w:rsidP="00CB5677">
      <w:r>
        <w:rPr>
          <w:lang w:val="es"/>
        </w:rPr>
        <w:t>Fondo con degradado azul y naranja con grietas negras en la pared y una familia cubriéndose debajo de una mesa del comedor.</w:t>
      </w:r>
    </w:p>
    <w:p w14:paraId="75F195EC" w14:textId="69DB47A7" w:rsidR="00CB5677" w:rsidRDefault="00CB5677" w:rsidP="003D37E5">
      <w:pPr>
        <w:pStyle w:val="Heading1"/>
      </w:pPr>
      <w:bookmarkStart w:id="3" w:name="_Toc223961480"/>
      <w:r>
        <w:rPr>
          <w:lang w:val="es"/>
        </w:rPr>
        <w:t>Después de un temblor de tierra</w:t>
      </w:r>
      <w:bookmarkEnd w:id="3"/>
    </w:p>
    <w:p w14:paraId="4B17254F" w14:textId="77777777" w:rsidR="00CB5677" w:rsidRPr="003D37E5" w:rsidRDefault="00CB5677" w:rsidP="00CB5677">
      <w:pPr>
        <w:rPr>
          <w:b/>
          <w:bCs/>
        </w:rPr>
      </w:pPr>
      <w:r>
        <w:rPr>
          <w:b/>
          <w:bCs/>
          <w:lang w:val="es"/>
        </w:rPr>
        <w:t>Facebook, Instagram, Nextdoor</w:t>
      </w:r>
    </w:p>
    <w:p w14:paraId="45688947" w14:textId="439A1DD8" w:rsidR="00CB5677" w:rsidRDefault="00CB5677" w:rsidP="00CB5677">
      <w:r>
        <w:rPr>
          <w:lang w:val="es"/>
        </w:rPr>
        <w:t xml:space="preserve">Esté preparado para réplicas. Después de un temblor de tierra grande, temblores más pequeños pueden continuar durante días, semanas o incluso años. Agáchese, cúbrase y sujétese si vuelve a temblar. Una vez que deje de temblar, revise cuidadosamente su entorno. Manténgase alejado de cables eléctricos caídos y llame a su compañía de servicios públicos o al 911 si es necesario. Ayude a otros solo si es seguro hacerlo. Su seguridad es lo primero. Obtenga más información en </w:t>
      </w:r>
      <w:hyperlink r:id="rId12" w:history="1">
        <w:r>
          <w:rPr>
            <w:rStyle w:val="Hyperlink"/>
            <w:lang w:val="es"/>
          </w:rPr>
          <w:t>www.sjready.org</w:t>
        </w:r>
      </w:hyperlink>
      <w:r>
        <w:rPr>
          <w:lang w:val="es"/>
        </w:rPr>
        <w:t xml:space="preserve">. </w:t>
      </w:r>
    </w:p>
    <w:p w14:paraId="511E01EA" w14:textId="77777777" w:rsidR="00CB5677" w:rsidRPr="003D37E5" w:rsidRDefault="00CB5677" w:rsidP="00CB5677">
      <w:pPr>
        <w:rPr>
          <w:b/>
          <w:bCs/>
        </w:rPr>
      </w:pPr>
      <w:r>
        <w:rPr>
          <w:b/>
          <w:bCs/>
          <w:lang w:val="es"/>
        </w:rPr>
        <w:t>X</w:t>
      </w:r>
    </w:p>
    <w:p w14:paraId="2D4CD0A3" w14:textId="7FB3A9D2" w:rsidR="00CB5677" w:rsidRDefault="00CB5677" w:rsidP="00CB5677">
      <w:r>
        <w:rPr>
          <w:lang w:val="es"/>
        </w:rPr>
        <w:t xml:space="preserve">Las réplicas pueden ocurrir después de un temblor de tierra durante días o semanas. Agáchese, cúbrase y sujétese si vuelve a temblar. Más consejos: </w:t>
      </w:r>
      <w:hyperlink r:id="rId13" w:history="1">
        <w:r>
          <w:rPr>
            <w:rStyle w:val="Hyperlink"/>
            <w:lang w:val="es"/>
          </w:rPr>
          <w:t>www.sjready.org</w:t>
        </w:r>
      </w:hyperlink>
      <w:r>
        <w:rPr>
          <w:lang w:val="es"/>
        </w:rPr>
        <w:t xml:space="preserve"> . </w:t>
      </w:r>
    </w:p>
    <w:p w14:paraId="7476831D" w14:textId="77777777" w:rsidR="00CB5677" w:rsidRPr="003D37E5" w:rsidRDefault="00CB5677" w:rsidP="00CB5677">
      <w:pPr>
        <w:rPr>
          <w:b/>
          <w:bCs/>
        </w:rPr>
      </w:pPr>
      <w:r>
        <w:rPr>
          <w:b/>
          <w:bCs/>
          <w:lang w:val="es"/>
        </w:rPr>
        <w:t>Texto alternativo</w:t>
      </w:r>
    </w:p>
    <w:p w14:paraId="0190D7C4" w14:textId="77777777" w:rsidR="00CB5677" w:rsidRDefault="00CB5677" w:rsidP="00CB5677">
      <w:r>
        <w:rPr>
          <w:lang w:val="es"/>
        </w:rPr>
        <w:t>Fondo con degradado azul y naranja, con grietas negras en una pared y amigos ayudándose entre sí después de un temblor de tierra.</w:t>
      </w:r>
    </w:p>
    <w:p w14:paraId="2CB220CB" w14:textId="5617EBC3" w:rsidR="003D37E5" w:rsidRDefault="003D37E5">
      <w:r>
        <w:rPr>
          <w:lang w:val="es"/>
        </w:rPr>
        <w:br w:type="page"/>
      </w:r>
    </w:p>
    <w:p w14:paraId="48A0D421" w14:textId="6600404E" w:rsidR="00CB5677" w:rsidRPr="003D37E5" w:rsidRDefault="00CB5677" w:rsidP="003D37E5">
      <w:pPr>
        <w:pStyle w:val="Title"/>
        <w:jc w:val="center"/>
        <w:rPr>
          <w:sz w:val="44"/>
          <w:szCs w:val="44"/>
        </w:rPr>
      </w:pPr>
      <w:r>
        <w:rPr>
          <w:sz w:val="44"/>
          <w:szCs w:val="44"/>
          <w:lang w:val="es"/>
        </w:rPr>
        <w:lastRenderedPageBreak/>
        <w:t>Preparación ante inundaciones</w:t>
      </w:r>
    </w:p>
    <w:p w14:paraId="5CF6C6CC" w14:textId="77777777" w:rsidR="00CB5677" w:rsidRDefault="00CB5677" w:rsidP="00CB5677"/>
    <w:p w14:paraId="1F8B4F77" w14:textId="1B68C0D1" w:rsidR="006D148D" w:rsidRDefault="006D148D" w:rsidP="006D148D">
      <w:pPr>
        <w:pStyle w:val="Heading1"/>
      </w:pPr>
      <w:bookmarkStart w:id="4" w:name="_Toc223961481"/>
      <w:r>
        <w:rPr>
          <w:lang w:val="es"/>
        </w:rPr>
        <w:t>Semana de Preparación ante Inundaciones</w:t>
      </w:r>
      <w:bookmarkEnd w:id="4"/>
    </w:p>
    <w:p w14:paraId="02356950" w14:textId="0D5C0DD5" w:rsidR="00CB5677" w:rsidRPr="006D148D" w:rsidRDefault="00CB5677" w:rsidP="00CB5677">
      <w:pPr>
        <w:rPr>
          <w:b/>
          <w:bCs/>
        </w:rPr>
      </w:pPr>
      <w:r>
        <w:rPr>
          <w:b/>
          <w:bCs/>
          <w:lang w:val="es"/>
        </w:rPr>
        <w:t>Facebook, Instagram, Nextdoor</w:t>
      </w:r>
    </w:p>
    <w:p w14:paraId="1ED05F42" w14:textId="467A9EF0" w:rsidR="00CB5677" w:rsidRDefault="00CB5677" w:rsidP="00CB5677">
      <w:r>
        <w:rPr>
          <w:lang w:val="es"/>
        </w:rPr>
        <w:t xml:space="preserve">Las inundaciones pueden ocurrir rápidamente. Durante la Semana de Preparación ante Inundaciones en California, compartimos consejos sobre cómo proteger a su familia, su hogar y su propiedad. El Condado de San Joaquín ha experimentado grandes inundaciones causadas por tormentas pasadas y ríos atmosféricos, por lo que prepararse ahora puede salvar vidas. Síganos durante toda la semana para obtener consejos y recursos de seguridad ante inundaciones. Obtenga más información en </w:t>
      </w:r>
      <w:hyperlink r:id="rId14" w:history="1">
        <w:r>
          <w:rPr>
            <w:rStyle w:val="Hyperlink"/>
            <w:lang w:val="es"/>
          </w:rPr>
          <w:t>www.sjready.org</w:t>
        </w:r>
      </w:hyperlink>
      <w:r>
        <w:rPr>
          <w:lang w:val="es"/>
        </w:rPr>
        <w:t xml:space="preserve">. </w:t>
      </w:r>
    </w:p>
    <w:p w14:paraId="37327207" w14:textId="77777777" w:rsidR="00CB5677" w:rsidRPr="006D148D" w:rsidRDefault="00CB5677" w:rsidP="00CB5677">
      <w:pPr>
        <w:rPr>
          <w:b/>
          <w:bCs/>
        </w:rPr>
      </w:pPr>
      <w:r>
        <w:rPr>
          <w:b/>
          <w:bCs/>
          <w:lang w:val="es"/>
        </w:rPr>
        <w:t>X</w:t>
      </w:r>
    </w:p>
    <w:p w14:paraId="1F7F4EE4" w14:textId="49C59877" w:rsidR="00CB5677" w:rsidRDefault="00CB5677" w:rsidP="00CB5677">
      <w:r>
        <w:rPr>
          <w:lang w:val="es"/>
        </w:rPr>
        <w:t xml:space="preserve">¡Es la Semana de Preparación ante Inundaciones! Aprenda cómo proteger a su familia y su propiedad de los riesgos de inundación en el Condado de San Joaquín. Más información: </w:t>
      </w:r>
      <w:hyperlink r:id="rId15" w:history="1">
        <w:r>
          <w:rPr>
            <w:rStyle w:val="Hyperlink"/>
            <w:lang w:val="es"/>
          </w:rPr>
          <w:t>www.sjready.org</w:t>
        </w:r>
      </w:hyperlink>
      <w:r>
        <w:rPr>
          <w:lang w:val="es"/>
        </w:rPr>
        <w:t xml:space="preserve"> . </w:t>
      </w:r>
    </w:p>
    <w:p w14:paraId="5CFE9F14" w14:textId="77777777" w:rsidR="00CB5677" w:rsidRPr="006D148D" w:rsidRDefault="00CB5677" w:rsidP="00CB5677">
      <w:pPr>
        <w:rPr>
          <w:b/>
          <w:bCs/>
        </w:rPr>
      </w:pPr>
      <w:r>
        <w:rPr>
          <w:b/>
          <w:bCs/>
          <w:lang w:val="es"/>
        </w:rPr>
        <w:t>Texto alternativo</w:t>
      </w:r>
    </w:p>
    <w:p w14:paraId="2F29B548" w14:textId="77777777" w:rsidR="00CB5677" w:rsidRDefault="00CB5677" w:rsidP="00CB5677">
      <w:r>
        <w:rPr>
          <w:lang w:val="es"/>
        </w:rPr>
        <w:t>Fondo con degradado azul y naranja con una casa roja y aguas de inundación en aumento.</w:t>
      </w:r>
    </w:p>
    <w:p w14:paraId="51500856" w14:textId="77777777" w:rsidR="00CB5677" w:rsidRDefault="00CB5677" w:rsidP="006D148D">
      <w:pPr>
        <w:pStyle w:val="Heading1"/>
      </w:pPr>
      <w:bookmarkStart w:id="5" w:name="_Toc223961482"/>
      <w:r>
        <w:rPr>
          <w:lang w:val="es"/>
        </w:rPr>
        <w:t>Dé la vuelta. No se Ahogue.</w:t>
      </w:r>
      <w:bookmarkEnd w:id="5"/>
    </w:p>
    <w:p w14:paraId="2B192998" w14:textId="77777777" w:rsidR="00CB5677" w:rsidRPr="006D148D" w:rsidRDefault="00CB5677" w:rsidP="00CB5677">
      <w:pPr>
        <w:rPr>
          <w:b/>
          <w:bCs/>
        </w:rPr>
      </w:pPr>
      <w:r>
        <w:rPr>
          <w:b/>
          <w:bCs/>
          <w:lang w:val="es"/>
        </w:rPr>
        <w:t>Facebook, Instagram, Nextdoor</w:t>
      </w:r>
    </w:p>
    <w:p w14:paraId="4248BAFC" w14:textId="737BE1C9" w:rsidR="00CB5677" w:rsidRDefault="00CB5677" w:rsidP="00CB5677">
      <w:r>
        <w:rPr>
          <w:lang w:val="es"/>
        </w:rPr>
        <w:t xml:space="preserve">¿Sabía que más de la mitad de los ahogamientos relacionados con inundaciones ocurren cuando los vehículos entran en aguas de inundación? El agua que se mueve rápidamente es poderosa: solo 6 pulgadas pueden derribar a un adulto, 12 pulgadas pueden arrastrar la mayoría de los automóviles y 2 pies pueden llevarse camionetas tipo SUV. Nunca conduzca ni camine dentro de aguas de inundación. Si encuentra una carretera inundada, dé la vuelta. No se ahogue. Más consejos de seguridad contra inundaciones: </w:t>
      </w:r>
      <w:hyperlink r:id="rId16" w:history="1">
        <w:r>
          <w:rPr>
            <w:rStyle w:val="Hyperlink"/>
            <w:lang w:val="es"/>
          </w:rPr>
          <w:t>www.sjready.org</w:t>
        </w:r>
      </w:hyperlink>
      <w:r>
        <w:rPr>
          <w:lang w:val="es"/>
        </w:rPr>
        <w:t xml:space="preserve"> . </w:t>
      </w:r>
    </w:p>
    <w:p w14:paraId="7FA9581F" w14:textId="77777777" w:rsidR="00CB5677" w:rsidRPr="006D148D" w:rsidRDefault="00CB5677" w:rsidP="00CB5677">
      <w:pPr>
        <w:rPr>
          <w:b/>
          <w:bCs/>
        </w:rPr>
      </w:pPr>
      <w:r>
        <w:rPr>
          <w:b/>
          <w:bCs/>
          <w:lang w:val="es"/>
        </w:rPr>
        <w:t>X</w:t>
      </w:r>
    </w:p>
    <w:p w14:paraId="75FCD21E" w14:textId="7EC048BD" w:rsidR="00CB5677" w:rsidRDefault="00CB5677" w:rsidP="00CB5677">
      <w:r>
        <w:rPr>
          <w:lang w:val="es"/>
        </w:rPr>
        <w:t xml:space="preserve">La mitad de todos los ahogamientos relacionados con inundaciones ocurren cuando los vehículos entran en aguas de inundación. Dé la vuelta. No se ahogue. Más consejos: </w:t>
      </w:r>
      <w:hyperlink r:id="rId17" w:history="1">
        <w:r>
          <w:rPr>
            <w:rStyle w:val="Hyperlink"/>
            <w:lang w:val="es"/>
          </w:rPr>
          <w:t>www.sjready.org</w:t>
        </w:r>
      </w:hyperlink>
      <w:r>
        <w:rPr>
          <w:lang w:val="es"/>
        </w:rPr>
        <w:t xml:space="preserve">. </w:t>
      </w:r>
    </w:p>
    <w:p w14:paraId="7F1BFB6E" w14:textId="77777777" w:rsidR="00CB5677" w:rsidRPr="006D148D" w:rsidRDefault="00CB5677" w:rsidP="00CB5677">
      <w:pPr>
        <w:rPr>
          <w:b/>
          <w:bCs/>
        </w:rPr>
      </w:pPr>
      <w:r>
        <w:rPr>
          <w:b/>
          <w:bCs/>
          <w:lang w:val="es"/>
        </w:rPr>
        <w:t>Texto alternativo</w:t>
      </w:r>
    </w:p>
    <w:p w14:paraId="6F89B474" w14:textId="77777777" w:rsidR="00CB5677" w:rsidRDefault="00CB5677" w:rsidP="00CB5677">
      <w:r>
        <w:rPr>
          <w:lang w:val="es"/>
        </w:rPr>
        <w:t>Fondo con degradado azul y naranja que muestra un bote de rescate salvando a una persona y a un hombre de pie sobre un automóvil inundado sosteniendo un letrero que dice “Help”.</w:t>
      </w:r>
    </w:p>
    <w:p w14:paraId="10DCABF9" w14:textId="77777777" w:rsidR="00CB5677" w:rsidRDefault="00CB5677" w:rsidP="00CB5677"/>
    <w:p w14:paraId="7CBE1D3C" w14:textId="266C5B40" w:rsidR="00CB5677" w:rsidRDefault="00CB5677" w:rsidP="006D148D">
      <w:pPr>
        <w:pStyle w:val="Heading1"/>
      </w:pPr>
      <w:bookmarkStart w:id="6" w:name="_Toc223961483"/>
      <w:r>
        <w:rPr>
          <w:lang w:val="es"/>
        </w:rPr>
        <w:t>Tome fotos de su hogar</w:t>
      </w:r>
      <w:bookmarkEnd w:id="6"/>
    </w:p>
    <w:p w14:paraId="2551FDFD" w14:textId="77777777" w:rsidR="00CB5677" w:rsidRPr="006D148D" w:rsidRDefault="00CB5677" w:rsidP="00CB5677">
      <w:pPr>
        <w:rPr>
          <w:b/>
          <w:bCs/>
        </w:rPr>
      </w:pPr>
      <w:r>
        <w:rPr>
          <w:b/>
          <w:bCs/>
          <w:lang w:val="es"/>
        </w:rPr>
        <w:t>Facebook, Instagram, Nextdoor</w:t>
      </w:r>
    </w:p>
    <w:p w14:paraId="70B893C8" w14:textId="7307097D" w:rsidR="00CB5677" w:rsidRDefault="00CB5677" w:rsidP="00CB5677">
      <w:r>
        <w:rPr>
          <w:lang w:val="es"/>
        </w:rPr>
        <w:lastRenderedPageBreak/>
        <w:t xml:space="preserve">Ahora es el momento de hacer un inventario de su hogar y sus pertenencias. Tome fotos de muebles, electrodomésticos, vehículos, botes y objetos de valor. Guarde copias de recibos y documentos importantes. Estos registros ayudarán con reclamaciones de seguro y asistencia por desastres de FEMA. Prepárese hoy para las inundaciones. Obtenga más información en </w:t>
      </w:r>
      <w:hyperlink r:id="rId18" w:history="1">
        <w:r>
          <w:rPr>
            <w:rStyle w:val="Hyperlink"/>
            <w:lang w:val="es"/>
          </w:rPr>
          <w:t>www.sjready.org</w:t>
        </w:r>
      </w:hyperlink>
      <w:r>
        <w:rPr>
          <w:lang w:val="es"/>
        </w:rPr>
        <w:t xml:space="preserve">. </w:t>
      </w:r>
    </w:p>
    <w:p w14:paraId="740A4495" w14:textId="77777777" w:rsidR="00CB5677" w:rsidRPr="006D148D" w:rsidRDefault="00CB5677" w:rsidP="00CB5677">
      <w:pPr>
        <w:rPr>
          <w:b/>
          <w:bCs/>
        </w:rPr>
      </w:pPr>
      <w:r>
        <w:rPr>
          <w:b/>
          <w:bCs/>
          <w:lang w:val="es"/>
        </w:rPr>
        <w:t>X</w:t>
      </w:r>
    </w:p>
    <w:p w14:paraId="1FC78C5B" w14:textId="421F905A" w:rsidR="00CB5677" w:rsidRDefault="00CB5677" w:rsidP="00CB5677">
      <w:r>
        <w:rPr>
          <w:lang w:val="es"/>
        </w:rPr>
        <w:t xml:space="preserve">Tome fotos de su hogar y objetos de valor ahora para ayudar con reclamaciones de seguro y de FEMA. Prepárese para las inundaciones hoy: </w:t>
      </w:r>
      <w:hyperlink r:id="rId19" w:history="1">
        <w:r>
          <w:rPr>
            <w:rStyle w:val="Hyperlink"/>
            <w:lang w:val="es"/>
          </w:rPr>
          <w:t>www.sjready.org</w:t>
        </w:r>
      </w:hyperlink>
      <w:r>
        <w:rPr>
          <w:lang w:val="es"/>
        </w:rPr>
        <w:t xml:space="preserve"> . </w:t>
      </w:r>
    </w:p>
    <w:p w14:paraId="17BE9517" w14:textId="77777777" w:rsidR="00CB5677" w:rsidRPr="006D148D" w:rsidRDefault="00CB5677" w:rsidP="00CB5677">
      <w:pPr>
        <w:rPr>
          <w:b/>
          <w:bCs/>
        </w:rPr>
      </w:pPr>
      <w:r>
        <w:rPr>
          <w:b/>
          <w:bCs/>
          <w:lang w:val="es"/>
        </w:rPr>
        <w:t>Texto alternativo</w:t>
      </w:r>
    </w:p>
    <w:p w14:paraId="056A494F" w14:textId="77777777" w:rsidR="00CB5677" w:rsidRDefault="00CB5677" w:rsidP="00CB5677">
      <w:r>
        <w:rPr>
          <w:lang w:val="es"/>
        </w:rPr>
        <w:t>Fondo con degradado azul y naranja con una mujer tomando una foto frente a aguas de inundación.</w:t>
      </w:r>
    </w:p>
    <w:p w14:paraId="598B06C8" w14:textId="77777777" w:rsidR="00CB5677" w:rsidRDefault="00CB5677" w:rsidP="00CB5677"/>
    <w:p w14:paraId="45901181" w14:textId="77777777" w:rsidR="00CB5677" w:rsidRDefault="00CB5677" w:rsidP="006D148D">
      <w:pPr>
        <w:pStyle w:val="Heading1"/>
      </w:pPr>
      <w:bookmarkStart w:id="7" w:name="_Toc223961484"/>
      <w:r>
        <w:rPr>
          <w:lang w:val="es"/>
        </w:rPr>
        <w:t>Órdenes de evacuación vs. avisos de evacuación</w:t>
      </w:r>
      <w:bookmarkEnd w:id="7"/>
    </w:p>
    <w:p w14:paraId="667398C4" w14:textId="77777777" w:rsidR="00CB5677" w:rsidRPr="006D148D" w:rsidRDefault="00CB5677" w:rsidP="00CB5677">
      <w:pPr>
        <w:rPr>
          <w:b/>
          <w:bCs/>
        </w:rPr>
      </w:pPr>
      <w:r>
        <w:rPr>
          <w:b/>
          <w:bCs/>
          <w:lang w:val="es"/>
        </w:rPr>
        <w:t>Facebook, Instagram, Nextdoor</w:t>
      </w:r>
    </w:p>
    <w:p w14:paraId="7316C824" w14:textId="4475989C" w:rsidR="00CB5677" w:rsidRDefault="00CB5677" w:rsidP="00CB5677">
      <w:r>
        <w:rPr>
          <w:lang w:val="es"/>
        </w:rPr>
        <w:t xml:space="preserve">¿Sabe cuál es la diferencia entre una orden de evacuación y un aviso de evacuación? Una Orden de Evacuación es una orden legal de salir inmediatamente debido a una amenaza inmediata para la vida o la propiedad. Se emite un aviso de evacuación cuando existe peligro potencial. Quienes necesiten más tiempo, tengan mascotas o ganado deben salir de inmediato cuando se emita un aviso. Conocer la diferencia puede salvar su vida. Obtenga más información en </w:t>
      </w:r>
      <w:hyperlink r:id="rId20" w:history="1">
        <w:r>
          <w:rPr>
            <w:rStyle w:val="Hyperlink"/>
            <w:lang w:val="es"/>
          </w:rPr>
          <w:t>www.sjready.org</w:t>
        </w:r>
      </w:hyperlink>
      <w:r>
        <w:rPr>
          <w:lang w:val="es"/>
        </w:rPr>
        <w:t xml:space="preserve">. </w:t>
      </w:r>
    </w:p>
    <w:p w14:paraId="10B16787" w14:textId="77777777" w:rsidR="00CB5677" w:rsidRPr="006D148D" w:rsidRDefault="00CB5677" w:rsidP="00CB5677">
      <w:pPr>
        <w:rPr>
          <w:b/>
          <w:bCs/>
        </w:rPr>
      </w:pPr>
      <w:r>
        <w:rPr>
          <w:b/>
          <w:bCs/>
          <w:lang w:val="es"/>
        </w:rPr>
        <w:t>X</w:t>
      </w:r>
    </w:p>
    <w:p w14:paraId="4A6C0AB3" w14:textId="1055EC46" w:rsidR="00CB5677" w:rsidRDefault="00CB5677" w:rsidP="00CB5677">
      <w:r>
        <w:rPr>
          <w:lang w:val="es"/>
        </w:rPr>
        <w:t xml:space="preserve">Orden de Evacuación = salir inmediatamente debido a peligro inmediato. Aviso de evacuación = peligro potencial; evacúe si necesita más tiempo o tiene mascotas. Más información: </w:t>
      </w:r>
      <w:hyperlink r:id="rId21" w:history="1">
        <w:r>
          <w:rPr>
            <w:rStyle w:val="Hyperlink"/>
            <w:lang w:val="es"/>
          </w:rPr>
          <w:t>www.sjready.org</w:t>
        </w:r>
      </w:hyperlink>
      <w:r>
        <w:rPr>
          <w:lang w:val="es"/>
        </w:rPr>
        <w:t xml:space="preserve"> . </w:t>
      </w:r>
    </w:p>
    <w:p w14:paraId="038960F8" w14:textId="77777777" w:rsidR="00CB5677" w:rsidRPr="006D148D" w:rsidRDefault="00CB5677" w:rsidP="00CB5677">
      <w:pPr>
        <w:rPr>
          <w:b/>
          <w:bCs/>
        </w:rPr>
      </w:pPr>
      <w:r>
        <w:rPr>
          <w:b/>
          <w:bCs/>
          <w:lang w:val="es"/>
        </w:rPr>
        <w:t>Texto alternativo</w:t>
      </w:r>
    </w:p>
    <w:p w14:paraId="7EF1CD62" w14:textId="4859CD28" w:rsidR="00CB5677" w:rsidRPr="00CB5677" w:rsidRDefault="00CB5677" w:rsidP="00CB5677">
      <w:r>
        <w:rPr>
          <w:lang w:val="es"/>
        </w:rPr>
        <w:t>Fondo con degradado azul y naranja con una mujer viendo una alerta meteorológica en la televisión.</w:t>
      </w:r>
    </w:p>
    <w:sectPr w:rsidR="00CB5677" w:rsidRPr="00CB5677" w:rsidSect="004209A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5D3"/>
    <w:multiLevelType w:val="hybridMultilevel"/>
    <w:tmpl w:val="9F44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28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3D"/>
    <w:rsid w:val="00003CB4"/>
    <w:rsid w:val="0002601A"/>
    <w:rsid w:val="000A28A1"/>
    <w:rsid w:val="000E42AE"/>
    <w:rsid w:val="001119CA"/>
    <w:rsid w:val="0018146E"/>
    <w:rsid w:val="001C7925"/>
    <w:rsid w:val="001D0050"/>
    <w:rsid w:val="002169FB"/>
    <w:rsid w:val="002331AB"/>
    <w:rsid w:val="0024758B"/>
    <w:rsid w:val="002554B1"/>
    <w:rsid w:val="0026194A"/>
    <w:rsid w:val="002F385C"/>
    <w:rsid w:val="00306EDD"/>
    <w:rsid w:val="00350BD5"/>
    <w:rsid w:val="0035336C"/>
    <w:rsid w:val="00377FCC"/>
    <w:rsid w:val="003C6F77"/>
    <w:rsid w:val="003D37E5"/>
    <w:rsid w:val="003D746D"/>
    <w:rsid w:val="004209A1"/>
    <w:rsid w:val="00472990"/>
    <w:rsid w:val="0048679A"/>
    <w:rsid w:val="0049496E"/>
    <w:rsid w:val="004C4E5D"/>
    <w:rsid w:val="004F1A4D"/>
    <w:rsid w:val="004F1BC0"/>
    <w:rsid w:val="0058348B"/>
    <w:rsid w:val="005C2030"/>
    <w:rsid w:val="00627D96"/>
    <w:rsid w:val="006531E8"/>
    <w:rsid w:val="00666908"/>
    <w:rsid w:val="006B68E7"/>
    <w:rsid w:val="006D148D"/>
    <w:rsid w:val="006E213B"/>
    <w:rsid w:val="0071447E"/>
    <w:rsid w:val="00725206"/>
    <w:rsid w:val="0074659E"/>
    <w:rsid w:val="00760DDA"/>
    <w:rsid w:val="00773FD5"/>
    <w:rsid w:val="007753A5"/>
    <w:rsid w:val="00777B01"/>
    <w:rsid w:val="008102A9"/>
    <w:rsid w:val="00862599"/>
    <w:rsid w:val="008629DC"/>
    <w:rsid w:val="008A57E6"/>
    <w:rsid w:val="008F5917"/>
    <w:rsid w:val="009237FB"/>
    <w:rsid w:val="00946B7C"/>
    <w:rsid w:val="00992E75"/>
    <w:rsid w:val="009C612C"/>
    <w:rsid w:val="009D1A0C"/>
    <w:rsid w:val="009E2080"/>
    <w:rsid w:val="009E5657"/>
    <w:rsid w:val="00A74A6C"/>
    <w:rsid w:val="00A94884"/>
    <w:rsid w:val="00AC5ACB"/>
    <w:rsid w:val="00AC5F6A"/>
    <w:rsid w:val="00AE5C7F"/>
    <w:rsid w:val="00AE5DBE"/>
    <w:rsid w:val="00B24515"/>
    <w:rsid w:val="00B62655"/>
    <w:rsid w:val="00BC0F47"/>
    <w:rsid w:val="00BD2970"/>
    <w:rsid w:val="00BF103D"/>
    <w:rsid w:val="00C45243"/>
    <w:rsid w:val="00C84BDD"/>
    <w:rsid w:val="00C91B34"/>
    <w:rsid w:val="00C9637D"/>
    <w:rsid w:val="00CA0B6C"/>
    <w:rsid w:val="00CB5677"/>
    <w:rsid w:val="00CB69FD"/>
    <w:rsid w:val="00CC5251"/>
    <w:rsid w:val="00CE25C7"/>
    <w:rsid w:val="00D55CDF"/>
    <w:rsid w:val="00D83CBF"/>
    <w:rsid w:val="00D914EE"/>
    <w:rsid w:val="00D921C5"/>
    <w:rsid w:val="00D92706"/>
    <w:rsid w:val="00E05185"/>
    <w:rsid w:val="00E2275F"/>
    <w:rsid w:val="00E25EE8"/>
    <w:rsid w:val="00E7229C"/>
    <w:rsid w:val="00EA010E"/>
    <w:rsid w:val="00EE0E67"/>
    <w:rsid w:val="00F33EB2"/>
    <w:rsid w:val="00F4789D"/>
    <w:rsid w:val="00F66A3D"/>
    <w:rsid w:val="00F75508"/>
    <w:rsid w:val="00F7690A"/>
    <w:rsid w:val="00F832D3"/>
    <w:rsid w:val="00FA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5E88"/>
  <w15:chartTrackingRefBased/>
  <w15:docId w15:val="{74B6FCFB-45C6-406E-8232-B8CD9B06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E5"/>
  </w:style>
  <w:style w:type="paragraph" w:styleId="Heading1">
    <w:name w:val="heading 1"/>
    <w:basedOn w:val="Normal"/>
    <w:next w:val="Normal"/>
    <w:link w:val="Heading1Char"/>
    <w:uiPriority w:val="9"/>
    <w:qFormat/>
    <w:rsid w:val="003D37E5"/>
    <w:pPr>
      <w:keepNext/>
      <w:keepLines/>
      <w:pBdr>
        <w:bottom w:val="single" w:sz="4" w:space="1" w:color="D34817" w:themeColor="accent1"/>
      </w:pBdr>
      <w:spacing w:before="400" w:after="40" w:line="240" w:lineRule="auto"/>
      <w:outlineLvl w:val="0"/>
    </w:pPr>
    <w:rPr>
      <w:rFonts w:asciiTheme="majorHAnsi" w:eastAsiaTheme="majorEastAsia" w:hAnsiTheme="majorHAnsi" w:cstheme="majorBidi"/>
      <w:color w:val="9D3511" w:themeColor="accent1" w:themeShade="BF"/>
      <w:sz w:val="36"/>
      <w:szCs w:val="36"/>
    </w:rPr>
  </w:style>
  <w:style w:type="paragraph" w:styleId="Heading2">
    <w:name w:val="heading 2"/>
    <w:basedOn w:val="Normal"/>
    <w:next w:val="Normal"/>
    <w:link w:val="Heading2Char"/>
    <w:uiPriority w:val="9"/>
    <w:unhideWhenUsed/>
    <w:qFormat/>
    <w:rsid w:val="003D37E5"/>
    <w:pPr>
      <w:keepNext/>
      <w:keepLines/>
      <w:spacing w:before="160" w:after="0" w:line="240" w:lineRule="auto"/>
      <w:outlineLvl w:val="1"/>
    </w:pPr>
    <w:rPr>
      <w:rFonts w:asciiTheme="majorHAnsi" w:eastAsiaTheme="majorEastAsia" w:hAnsiTheme="majorHAnsi" w:cstheme="majorBidi"/>
      <w:color w:val="9D3511" w:themeColor="accent1" w:themeShade="BF"/>
      <w:sz w:val="28"/>
      <w:szCs w:val="28"/>
    </w:rPr>
  </w:style>
  <w:style w:type="paragraph" w:styleId="Heading3">
    <w:name w:val="heading 3"/>
    <w:basedOn w:val="Normal"/>
    <w:next w:val="Normal"/>
    <w:link w:val="Heading3Char"/>
    <w:uiPriority w:val="9"/>
    <w:semiHidden/>
    <w:unhideWhenUsed/>
    <w:qFormat/>
    <w:rsid w:val="003D37E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D37E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D37E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D37E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D37E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D37E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D37E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7E5"/>
    <w:rPr>
      <w:rFonts w:asciiTheme="majorHAnsi" w:eastAsiaTheme="majorEastAsia" w:hAnsiTheme="majorHAnsi" w:cstheme="majorBidi"/>
      <w:color w:val="9D3511" w:themeColor="accent1" w:themeShade="BF"/>
      <w:sz w:val="36"/>
      <w:szCs w:val="36"/>
    </w:rPr>
  </w:style>
  <w:style w:type="character" w:customStyle="1" w:styleId="Heading2Char">
    <w:name w:val="Heading 2 Char"/>
    <w:basedOn w:val="DefaultParagraphFont"/>
    <w:link w:val="Heading2"/>
    <w:uiPriority w:val="9"/>
    <w:rsid w:val="003D37E5"/>
    <w:rPr>
      <w:rFonts w:asciiTheme="majorHAnsi" w:eastAsiaTheme="majorEastAsia" w:hAnsiTheme="majorHAnsi" w:cstheme="majorBidi"/>
      <w:color w:val="9D3511" w:themeColor="accent1" w:themeShade="BF"/>
      <w:sz w:val="28"/>
      <w:szCs w:val="28"/>
    </w:rPr>
  </w:style>
  <w:style w:type="character" w:customStyle="1" w:styleId="Heading3Char">
    <w:name w:val="Heading 3 Char"/>
    <w:basedOn w:val="DefaultParagraphFont"/>
    <w:link w:val="Heading3"/>
    <w:uiPriority w:val="9"/>
    <w:semiHidden/>
    <w:rsid w:val="003D37E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D37E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D37E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D37E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D37E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D37E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D37E5"/>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3D37E5"/>
    <w:pPr>
      <w:spacing w:after="0" w:line="240" w:lineRule="auto"/>
      <w:contextualSpacing/>
    </w:pPr>
    <w:rPr>
      <w:rFonts w:asciiTheme="majorHAnsi" w:eastAsiaTheme="majorEastAsia" w:hAnsiTheme="majorHAnsi" w:cstheme="majorBidi"/>
      <w:color w:val="9D3511" w:themeColor="accent1" w:themeShade="BF"/>
      <w:spacing w:val="-7"/>
      <w:sz w:val="80"/>
      <w:szCs w:val="80"/>
    </w:rPr>
  </w:style>
  <w:style w:type="character" w:customStyle="1" w:styleId="TitleChar">
    <w:name w:val="Title Char"/>
    <w:basedOn w:val="DefaultParagraphFont"/>
    <w:link w:val="Title"/>
    <w:uiPriority w:val="10"/>
    <w:rsid w:val="003D37E5"/>
    <w:rPr>
      <w:rFonts w:asciiTheme="majorHAnsi" w:eastAsiaTheme="majorEastAsia" w:hAnsiTheme="majorHAnsi" w:cstheme="majorBidi"/>
      <w:color w:val="9D3511" w:themeColor="accent1" w:themeShade="BF"/>
      <w:spacing w:val="-7"/>
      <w:sz w:val="80"/>
      <w:szCs w:val="80"/>
    </w:rPr>
  </w:style>
  <w:style w:type="paragraph" w:styleId="Subtitle">
    <w:name w:val="Subtitle"/>
    <w:basedOn w:val="Normal"/>
    <w:next w:val="Normal"/>
    <w:link w:val="SubtitleChar"/>
    <w:uiPriority w:val="11"/>
    <w:qFormat/>
    <w:rsid w:val="003D37E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D37E5"/>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3D37E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D37E5"/>
    <w:rPr>
      <w:i/>
      <w:iCs/>
    </w:rPr>
  </w:style>
  <w:style w:type="paragraph" w:styleId="ListParagraph">
    <w:name w:val="List Paragraph"/>
    <w:basedOn w:val="Normal"/>
    <w:uiPriority w:val="34"/>
    <w:qFormat/>
    <w:rsid w:val="00F66A3D"/>
    <w:pPr>
      <w:ind w:left="720"/>
      <w:contextualSpacing/>
    </w:pPr>
  </w:style>
  <w:style w:type="character" w:styleId="IntenseEmphasis">
    <w:name w:val="Intense Emphasis"/>
    <w:basedOn w:val="DefaultParagraphFont"/>
    <w:uiPriority w:val="21"/>
    <w:qFormat/>
    <w:rsid w:val="003D37E5"/>
    <w:rPr>
      <w:b/>
      <w:bCs/>
      <w:i/>
      <w:iCs/>
    </w:rPr>
  </w:style>
  <w:style w:type="paragraph" w:styleId="IntenseQuote">
    <w:name w:val="Intense Quote"/>
    <w:basedOn w:val="Normal"/>
    <w:next w:val="Normal"/>
    <w:link w:val="IntenseQuoteChar"/>
    <w:uiPriority w:val="30"/>
    <w:qFormat/>
    <w:rsid w:val="003D37E5"/>
    <w:pPr>
      <w:spacing w:before="100" w:beforeAutospacing="1" w:after="240"/>
      <w:ind w:left="864" w:right="864"/>
      <w:jc w:val="center"/>
    </w:pPr>
    <w:rPr>
      <w:rFonts w:asciiTheme="majorHAnsi" w:eastAsiaTheme="majorEastAsia" w:hAnsiTheme="majorHAnsi" w:cstheme="majorBidi"/>
      <w:color w:val="D34817" w:themeColor="accent1"/>
      <w:sz w:val="28"/>
      <w:szCs w:val="28"/>
    </w:rPr>
  </w:style>
  <w:style w:type="character" w:customStyle="1" w:styleId="IntenseQuoteChar">
    <w:name w:val="Intense Quote Char"/>
    <w:basedOn w:val="DefaultParagraphFont"/>
    <w:link w:val="IntenseQuote"/>
    <w:uiPriority w:val="30"/>
    <w:rsid w:val="003D37E5"/>
    <w:rPr>
      <w:rFonts w:asciiTheme="majorHAnsi" w:eastAsiaTheme="majorEastAsia" w:hAnsiTheme="majorHAnsi" w:cstheme="majorBidi"/>
      <w:color w:val="D34817" w:themeColor="accent1"/>
      <w:sz w:val="28"/>
      <w:szCs w:val="28"/>
    </w:rPr>
  </w:style>
  <w:style w:type="character" w:styleId="IntenseReference">
    <w:name w:val="Intense Reference"/>
    <w:basedOn w:val="DefaultParagraphFont"/>
    <w:uiPriority w:val="32"/>
    <w:qFormat/>
    <w:rsid w:val="003D37E5"/>
    <w:rPr>
      <w:b/>
      <w:bCs/>
      <w:smallCaps/>
      <w:u w:val="single"/>
    </w:rPr>
  </w:style>
  <w:style w:type="character" w:styleId="Hyperlink">
    <w:name w:val="Hyperlink"/>
    <w:basedOn w:val="DefaultParagraphFont"/>
    <w:uiPriority w:val="99"/>
    <w:unhideWhenUsed/>
    <w:rsid w:val="000A28A1"/>
    <w:rPr>
      <w:color w:val="CC9900" w:themeColor="hyperlink"/>
      <w:u w:val="single"/>
    </w:rPr>
  </w:style>
  <w:style w:type="character" w:styleId="UnresolvedMention">
    <w:name w:val="Unresolved Mention"/>
    <w:basedOn w:val="DefaultParagraphFont"/>
    <w:uiPriority w:val="99"/>
    <w:semiHidden/>
    <w:unhideWhenUsed/>
    <w:rsid w:val="000A28A1"/>
    <w:rPr>
      <w:color w:val="605E5C"/>
      <w:shd w:val="clear" w:color="auto" w:fill="E1DFDD"/>
    </w:rPr>
  </w:style>
  <w:style w:type="paragraph" w:styleId="NoSpacing">
    <w:name w:val="No Spacing"/>
    <w:link w:val="NoSpacingChar"/>
    <w:uiPriority w:val="1"/>
    <w:qFormat/>
    <w:rsid w:val="003D37E5"/>
    <w:pPr>
      <w:spacing w:after="0" w:line="240" w:lineRule="auto"/>
    </w:pPr>
  </w:style>
  <w:style w:type="character" w:customStyle="1" w:styleId="NoSpacingChar">
    <w:name w:val="No Spacing Char"/>
    <w:basedOn w:val="DefaultParagraphFont"/>
    <w:link w:val="NoSpacing"/>
    <w:uiPriority w:val="1"/>
    <w:rsid w:val="004209A1"/>
  </w:style>
  <w:style w:type="paragraph" w:styleId="TOCHeading">
    <w:name w:val="TOC Heading"/>
    <w:basedOn w:val="Heading1"/>
    <w:next w:val="Normal"/>
    <w:uiPriority w:val="39"/>
    <w:unhideWhenUsed/>
    <w:qFormat/>
    <w:rsid w:val="003D37E5"/>
    <w:pPr>
      <w:outlineLvl w:val="9"/>
    </w:pPr>
  </w:style>
  <w:style w:type="paragraph" w:styleId="TOC1">
    <w:name w:val="toc 1"/>
    <w:basedOn w:val="Normal"/>
    <w:next w:val="Normal"/>
    <w:autoRedefine/>
    <w:uiPriority w:val="39"/>
    <w:unhideWhenUsed/>
    <w:rsid w:val="004209A1"/>
    <w:pPr>
      <w:spacing w:after="100"/>
    </w:pPr>
  </w:style>
  <w:style w:type="paragraph" w:styleId="TOC2">
    <w:name w:val="toc 2"/>
    <w:basedOn w:val="Normal"/>
    <w:next w:val="Normal"/>
    <w:autoRedefine/>
    <w:uiPriority w:val="39"/>
    <w:unhideWhenUsed/>
    <w:rsid w:val="009D1A0C"/>
    <w:pPr>
      <w:spacing w:after="100"/>
      <w:ind w:left="240"/>
    </w:pPr>
  </w:style>
  <w:style w:type="paragraph" w:styleId="Caption">
    <w:name w:val="caption"/>
    <w:basedOn w:val="Normal"/>
    <w:next w:val="Normal"/>
    <w:uiPriority w:val="35"/>
    <w:semiHidden/>
    <w:unhideWhenUsed/>
    <w:qFormat/>
    <w:rsid w:val="003D37E5"/>
    <w:pPr>
      <w:spacing w:line="240" w:lineRule="auto"/>
    </w:pPr>
    <w:rPr>
      <w:b/>
      <w:bCs/>
      <w:color w:val="404040" w:themeColor="text1" w:themeTint="BF"/>
      <w:sz w:val="20"/>
      <w:szCs w:val="20"/>
    </w:rPr>
  </w:style>
  <w:style w:type="character" w:styleId="Strong">
    <w:name w:val="Strong"/>
    <w:basedOn w:val="DefaultParagraphFont"/>
    <w:uiPriority w:val="22"/>
    <w:qFormat/>
    <w:rsid w:val="003D37E5"/>
    <w:rPr>
      <w:b/>
      <w:bCs/>
    </w:rPr>
  </w:style>
  <w:style w:type="character" w:styleId="Emphasis">
    <w:name w:val="Emphasis"/>
    <w:basedOn w:val="DefaultParagraphFont"/>
    <w:uiPriority w:val="20"/>
    <w:qFormat/>
    <w:rsid w:val="003D37E5"/>
    <w:rPr>
      <w:i/>
      <w:iCs/>
    </w:rPr>
  </w:style>
  <w:style w:type="character" w:styleId="SubtleEmphasis">
    <w:name w:val="Subtle Emphasis"/>
    <w:basedOn w:val="DefaultParagraphFont"/>
    <w:uiPriority w:val="19"/>
    <w:qFormat/>
    <w:rsid w:val="003D37E5"/>
    <w:rPr>
      <w:i/>
      <w:iCs/>
      <w:color w:val="595959" w:themeColor="text1" w:themeTint="A6"/>
    </w:rPr>
  </w:style>
  <w:style w:type="character" w:styleId="SubtleReference">
    <w:name w:val="Subtle Reference"/>
    <w:basedOn w:val="DefaultParagraphFont"/>
    <w:uiPriority w:val="31"/>
    <w:qFormat/>
    <w:rsid w:val="003D37E5"/>
    <w:rPr>
      <w:smallCaps/>
      <w:color w:val="404040" w:themeColor="text1" w:themeTint="BF"/>
    </w:rPr>
  </w:style>
  <w:style w:type="character" w:styleId="BookTitle">
    <w:name w:val="Book Title"/>
    <w:basedOn w:val="DefaultParagraphFont"/>
    <w:uiPriority w:val="33"/>
    <w:qFormat/>
    <w:rsid w:val="003D37E5"/>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3" Type="http://schemas.openxmlformats.org/officeDocument/2006/relationships/styles" Target="styles.xml"/><Relationship Id="rId21" Type="http://schemas.openxmlformats.org/officeDocument/2006/relationships/hyperlink" Target="http://www.sjready.org" TargetMode="Externa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 Type="http://schemas.openxmlformats.org/officeDocument/2006/relationships/numbering" Target="numbering.xml"/><Relationship Id="rId16" Type="http://schemas.openxmlformats.org/officeDocument/2006/relationships/hyperlink" Target="http://www.sjready.org" TargetMode="External"/><Relationship Id="rId20" Type="http://schemas.openxmlformats.org/officeDocument/2006/relationships/hyperlink" Target="http://www.sjready.org" TargetMode="External"/><Relationship Id="rId1" Type="http://schemas.openxmlformats.org/officeDocument/2006/relationships/customXml" Target="../customXml/item1.xml"/><Relationship Id="rId6" Type="http://schemas.openxmlformats.org/officeDocument/2006/relationships/hyperlink" Target="http://www.sjready.org" TargetMode="External"/><Relationship Id="rId11" Type="http://schemas.openxmlformats.org/officeDocument/2006/relationships/hyperlink" Target="http://www.sjready.org" TargetMode="External"/><Relationship Id="rId5" Type="http://schemas.openxmlformats.org/officeDocument/2006/relationships/webSettings" Target="webSettings.xml"/><Relationship Id="rId15" Type="http://schemas.openxmlformats.org/officeDocument/2006/relationships/hyperlink" Target="http://www.sjready.org" TargetMode="External"/><Relationship Id="rId23" Type="http://schemas.openxmlformats.org/officeDocument/2006/relationships/theme" Target="theme/theme1.xml"/><Relationship Id="rId10" Type="http://schemas.openxmlformats.org/officeDocument/2006/relationships/hyperlink" Target="http://www.sjready.org" TargetMode="External"/><Relationship Id="rId19" Type="http://schemas.openxmlformats.org/officeDocument/2006/relationships/hyperlink" Target="http://www.sjready.org" TargetMode="External"/><Relationship Id="rId4" Type="http://schemas.openxmlformats.org/officeDocument/2006/relationships/settings" Target="settings.xm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D4075-23D9-489E-BAE1-E0B3830A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2024 October digital toolkit</vt:lpstr>
    </vt:vector>
  </TitlesOfParts>
  <Company>San Joaquin County</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 digital de octubre</dc:title>
  <dc:subject>Esté preparado para temblores de tierra e inundaciones</dc:subject>
  <dc:creator>Kia Xiong</dc:creator>
  <cp:keywords/>
  <dc:description/>
  <cp:lastModifiedBy>Yesenia Davilaquintanilla</cp:lastModifiedBy>
  <cp:revision>5</cp:revision>
  <dcterms:created xsi:type="dcterms:W3CDTF">2026-03-05T22:08:00Z</dcterms:created>
  <dcterms:modified xsi:type="dcterms:W3CDTF">2026-03-09T22:11:00Z</dcterms:modified>
</cp:coreProperties>
</file>